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F22" w:rsidRDefault="00000000">
      <w:pPr>
        <w:spacing w:before="1400"/>
        <w:jc w:val="center"/>
      </w:pPr>
      <w:r>
        <w:rPr>
          <w:b/>
          <w:bCs/>
          <w:color w:val="B01B2E"/>
          <w:sz w:val="60"/>
          <w:szCs w:val="60"/>
        </w:rPr>
        <w:t>LIBRO ROJO CORPORATIVO</w:t>
      </w:r>
    </w:p>
    <w:p w:rsidR="00FE6F22" w:rsidRDefault="00000000">
      <w:pPr>
        <w:pBdr>
          <w:top w:val="single" w:sz="18" w:space="10" w:color="B01B2E"/>
        </w:pBdr>
        <w:spacing w:before="160"/>
        <w:jc w:val="center"/>
      </w:pPr>
      <w:r>
        <w:rPr>
          <w:sz w:val="28"/>
          <w:szCs w:val="28"/>
        </w:rPr>
        <w:t>Documento Maestro de Control de Poderes, Accesos y Valores Sensibles</w:t>
      </w:r>
    </w:p>
    <w:p w:rsidR="00FE6F22" w:rsidRDefault="00000000">
      <w:pPr>
        <w:spacing w:before="360"/>
        <w:jc w:val="center"/>
      </w:pPr>
      <w:r>
        <w:rPr>
          <w:i/>
          <w:iCs/>
          <w:color w:val="595959"/>
          <w:sz w:val="22"/>
          <w:szCs w:val="22"/>
        </w:rPr>
        <w:t>Recomendación institucional para agencias asociadas a la AMDA</w:t>
      </w:r>
    </w:p>
    <w:p w:rsidR="00FE6F22" w:rsidRDefault="00000000">
      <w:pPr>
        <w:spacing w:before="900"/>
        <w:jc w:val="center"/>
      </w:pPr>
      <w:r>
        <w:rPr>
          <w:b/>
          <w:bCs/>
          <w:color w:val="B01B2E"/>
          <w:sz w:val="22"/>
          <w:szCs w:val="22"/>
        </w:rPr>
        <w:t>DOCUMENTO CONFIDENCIAL Y RESERVADO</w:t>
      </w:r>
    </w:p>
    <w:p w:rsidR="00FE6F22" w:rsidRDefault="00000000">
      <w:pPr>
        <w:spacing w:before="100"/>
        <w:jc w:val="center"/>
      </w:pPr>
      <w:r>
        <w:rPr>
          <w:i/>
          <w:iCs/>
          <w:color w:val="595959"/>
          <w:sz w:val="17"/>
          <w:szCs w:val="17"/>
        </w:rPr>
        <w:t>Su reproducción, divulgación o uso no autorizado está prohibido</w:t>
      </w:r>
    </w:p>
    <w:p w:rsidR="00FE6F22" w:rsidRDefault="00000000">
      <w:r>
        <w:br w:type="page"/>
      </w:r>
    </w:p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r>
        <w:rPr>
          <w:b/>
          <w:bCs/>
          <w:color w:val="B01B2E"/>
          <w:sz w:val="30"/>
          <w:szCs w:val="30"/>
        </w:rPr>
        <w:lastRenderedPageBreak/>
        <w:t>Índice</w:t>
      </w:r>
    </w:p>
    <w:p w:rsidR="00FE6F22" w:rsidRDefault="00FE6F22">
      <w:pPr>
        <w:spacing w:after="120"/>
      </w:pPr>
    </w:p>
    <w:p w:rsidR="00FE6F22" w:rsidRDefault="00000000">
      <w:r>
        <w:fldChar w:fldCharType="begin"/>
      </w:r>
      <w:r>
        <w:instrText xml:space="preserve"> TOC \o "1-3" \h \z \u </w:instrText>
      </w:r>
      <w:r>
        <w:fldChar w:fldCharType="separate"/>
      </w:r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sec1" w:history="1">
        <w:r>
          <w:rPr>
            <w:b/>
            <w:color w:val="B01B2E"/>
            <w:sz w:val="21"/>
          </w:rPr>
          <w:t>1. Objetivo</w:t>
        </w:r>
      </w:hyperlink>
      <w:r>
        <w:rPr>
          <w:b/>
          <w:color w:val="B01B2E"/>
          <w:sz w:val="21"/>
        </w:rPr>
        <w:tab/>
      </w:r>
      <w:hyperlink w:anchor="sec1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sec1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4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sec2" w:history="1">
        <w:r>
          <w:rPr>
            <w:b/>
            <w:color w:val="B01B2E"/>
            <w:sz w:val="21"/>
          </w:rPr>
          <w:t>2. Alcance</w:t>
        </w:r>
      </w:hyperlink>
      <w:r>
        <w:rPr>
          <w:b/>
          <w:color w:val="B01B2E"/>
          <w:sz w:val="21"/>
        </w:rPr>
        <w:tab/>
      </w:r>
      <w:hyperlink w:anchor="sec2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sec2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4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reglas" w:history="1">
        <w:r>
          <w:rPr>
            <w:b/>
            <w:color w:val="B01B2E"/>
            <w:sz w:val="21"/>
          </w:rPr>
          <w:t>3. Reglas no negociables</w:t>
        </w:r>
      </w:hyperlink>
      <w:r>
        <w:rPr>
          <w:b/>
          <w:color w:val="B01B2E"/>
          <w:sz w:val="21"/>
        </w:rPr>
        <w:tab/>
      </w:r>
      <w:hyperlink w:anchor="reglas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reglas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4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gob" w:history="1">
        <w:r>
          <w:rPr>
            <w:b/>
            <w:color w:val="B01B2E"/>
            <w:sz w:val="21"/>
          </w:rPr>
          <w:t>4. Gobernanza del documento</w:t>
        </w:r>
      </w:hyperlink>
      <w:r>
        <w:rPr>
          <w:b/>
          <w:color w:val="B01B2E"/>
          <w:sz w:val="21"/>
        </w:rPr>
        <w:tab/>
      </w:r>
      <w:hyperlink w:anchor="gob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gob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5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gob1" w:history="1">
        <w:r>
          <w:rPr>
            <w:sz w:val="19"/>
          </w:rPr>
          <w:t>4.1 Roles y responsabilidades</w:t>
        </w:r>
      </w:hyperlink>
      <w:r>
        <w:rPr>
          <w:sz w:val="19"/>
        </w:rPr>
        <w:tab/>
      </w:r>
      <w:hyperlink w:anchor="gob1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gob1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5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gob2" w:history="1">
        <w:r>
          <w:rPr>
            <w:sz w:val="19"/>
          </w:rPr>
          <w:t>4.2 Criterios de criticidad</w:t>
        </w:r>
      </w:hyperlink>
      <w:r>
        <w:rPr>
          <w:sz w:val="19"/>
        </w:rPr>
        <w:tab/>
      </w:r>
      <w:hyperlink w:anchor="gob2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gob2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5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gob3" w:history="1">
        <w:r>
          <w:rPr>
            <w:sz w:val="19"/>
          </w:rPr>
          <w:t>4.3 Implementación en 30 días</w:t>
        </w:r>
      </w:hyperlink>
      <w:r>
        <w:rPr>
          <w:sz w:val="19"/>
        </w:rPr>
        <w:tab/>
      </w:r>
      <w:hyperlink w:anchor="gob3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gob3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5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tab" w:history="1">
        <w:r>
          <w:rPr>
            <w:b/>
            <w:color w:val="B01B2E"/>
            <w:sz w:val="21"/>
          </w:rPr>
          <w:t>5. Tablero ejecutivo</w:t>
        </w:r>
      </w:hyperlink>
      <w:r>
        <w:rPr>
          <w:b/>
          <w:color w:val="B01B2E"/>
          <w:sz w:val="21"/>
        </w:rPr>
        <w:tab/>
      </w:r>
      <w:hyperlink w:anchor="tab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tab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5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tab1" w:history="1">
        <w:r>
          <w:rPr>
            <w:sz w:val="19"/>
          </w:rPr>
          <w:t>5.1 Semáforo de secciones</w:t>
        </w:r>
      </w:hyperlink>
      <w:r>
        <w:rPr>
          <w:sz w:val="19"/>
        </w:rPr>
        <w:tab/>
      </w:r>
      <w:hyperlink w:anchor="tab1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tab1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6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play" w:history="1">
        <w:r>
          <w:rPr>
            <w:b/>
            <w:color w:val="B01B2E"/>
            <w:sz w:val="21"/>
          </w:rPr>
          <w:t>6. Protocolos de respuesta ante crisis</w:t>
        </w:r>
      </w:hyperlink>
      <w:r>
        <w:rPr>
          <w:b/>
          <w:color w:val="B01B2E"/>
          <w:sz w:val="21"/>
        </w:rPr>
        <w:tab/>
      </w:r>
      <w:hyperlink w:anchor="play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play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6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play0" w:history="1">
        <w:r>
          <w:rPr>
            <w:sz w:val="19"/>
          </w:rPr>
          <w:t>6.1 Protocolo universal de 6 pasos</w:t>
        </w:r>
      </w:hyperlink>
      <w:r>
        <w:rPr>
          <w:sz w:val="19"/>
        </w:rPr>
        <w:tab/>
      </w:r>
      <w:hyperlink w:anchor="play0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play0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6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play1" w:history="1">
        <w:r>
          <w:rPr>
            <w:sz w:val="19"/>
          </w:rPr>
          <w:t>6.2 Escenarios específicos</w:t>
        </w:r>
      </w:hyperlink>
      <w:r>
        <w:rPr>
          <w:sz w:val="19"/>
        </w:rPr>
        <w:tab/>
      </w:r>
      <w:hyperlink w:anchor="play1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play1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6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ctrl" w:history="1">
        <w:r>
          <w:rPr>
            <w:b/>
            <w:color w:val="B01B2E"/>
            <w:sz w:val="21"/>
          </w:rPr>
          <w:t>7. Control periódico y mejora</w:t>
        </w:r>
      </w:hyperlink>
      <w:r>
        <w:rPr>
          <w:b/>
          <w:color w:val="B01B2E"/>
          <w:sz w:val="21"/>
        </w:rPr>
        <w:tab/>
      </w:r>
      <w:hyperlink w:anchor="ctrl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ctrl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7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ctrl1" w:history="1">
        <w:r>
          <w:rPr>
            <w:sz w:val="19"/>
          </w:rPr>
          <w:t>7.1 Checklist trimestral</w:t>
        </w:r>
      </w:hyperlink>
      <w:r>
        <w:rPr>
          <w:sz w:val="19"/>
        </w:rPr>
        <w:tab/>
      </w:r>
      <w:hyperlink w:anchor="ctrl1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ctrl1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7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ctrl2" w:history="1">
        <w:r>
          <w:rPr>
            <w:sz w:val="19"/>
          </w:rPr>
          <w:t>7.2 Simulacro anual</w:t>
        </w:r>
      </w:hyperlink>
      <w:r>
        <w:rPr>
          <w:sz w:val="19"/>
        </w:rPr>
        <w:tab/>
      </w:r>
      <w:hyperlink w:anchor="ctrl2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ctrl2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7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ctrl3" w:history="1">
        <w:r>
          <w:rPr>
            <w:sz w:val="19"/>
          </w:rPr>
          <w:t>7.3 Diagnóstico de madurez</w:t>
        </w:r>
      </w:hyperlink>
      <w:r>
        <w:rPr>
          <w:sz w:val="19"/>
        </w:rPr>
        <w:tab/>
      </w:r>
      <w:hyperlink w:anchor="ctrl3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ctrl3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7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ctrl4" w:history="1">
        <w:r>
          <w:rPr>
            <w:sz w:val="19"/>
          </w:rPr>
          <w:t>7.4 Plan de acción a 90 días</w:t>
        </w:r>
      </w:hyperlink>
      <w:r>
        <w:rPr>
          <w:sz w:val="19"/>
        </w:rPr>
        <w:tab/>
      </w:r>
      <w:hyperlink w:anchor="ctrl4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ctrl4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8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sec3" w:history="1">
        <w:r>
          <w:rPr>
            <w:b/>
            <w:color w:val="B01B2E"/>
            <w:sz w:val="21"/>
          </w:rPr>
          <w:t>8. Recomendaciones jurídicas</w:t>
        </w:r>
      </w:hyperlink>
      <w:r>
        <w:rPr>
          <w:b/>
          <w:color w:val="B01B2E"/>
          <w:sz w:val="21"/>
        </w:rPr>
        <w:tab/>
      </w:r>
      <w:hyperlink w:anchor="sec3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sec3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9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31" w:history="1">
        <w:r>
          <w:rPr>
            <w:sz w:val="19"/>
          </w:rPr>
          <w:t>8.1 Sobre custodia y seguridad</w:t>
        </w:r>
      </w:hyperlink>
      <w:r>
        <w:rPr>
          <w:sz w:val="19"/>
        </w:rPr>
        <w:tab/>
      </w:r>
      <w:hyperlink w:anchor="sec31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sec31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9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32" w:history="1">
        <w:r>
          <w:rPr>
            <w:sz w:val="19"/>
          </w:rPr>
          <w:t>8.2 Sobre poderes</w:t>
        </w:r>
      </w:hyperlink>
      <w:r>
        <w:rPr>
          <w:sz w:val="19"/>
        </w:rPr>
        <w:tab/>
      </w:r>
      <w:hyperlink w:anchor="sec32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sec32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9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33" w:history="1">
        <w:r>
          <w:rPr>
            <w:sz w:val="19"/>
          </w:rPr>
          <w:t>8.3 Sobre e.firma y materia fiscal</w:t>
        </w:r>
      </w:hyperlink>
      <w:r>
        <w:rPr>
          <w:sz w:val="19"/>
        </w:rPr>
        <w:tab/>
      </w:r>
      <w:hyperlink w:anchor="sec33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sec33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9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34" w:history="1">
        <w:r>
          <w:rPr>
            <w:sz w:val="19"/>
          </w:rPr>
          <w:t>8.4 Sobre el Registro Público Vehicular (REPUVE)</w:t>
        </w:r>
      </w:hyperlink>
      <w:r>
        <w:rPr>
          <w:sz w:val="19"/>
        </w:rPr>
        <w:tab/>
      </w:r>
      <w:hyperlink w:anchor="sec34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sec34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9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35" w:history="1">
        <w:r>
          <w:rPr>
            <w:sz w:val="19"/>
          </w:rPr>
          <w:t>8.5 Sobre actualización</w:t>
        </w:r>
      </w:hyperlink>
      <w:r>
        <w:rPr>
          <w:sz w:val="19"/>
        </w:rPr>
        <w:tab/>
      </w:r>
      <w:hyperlink w:anchor="sec35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sec35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9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36" w:history="1">
        <w:r>
          <w:rPr>
            <w:sz w:val="19"/>
          </w:rPr>
          <w:t>8.6 Protección de datos</w:t>
        </w:r>
      </w:hyperlink>
      <w:r>
        <w:rPr>
          <w:sz w:val="19"/>
        </w:rPr>
        <w:tab/>
      </w:r>
      <w:hyperlink w:anchor="sec36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sec36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9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90" w:after="20"/>
        <w:ind w:right="200"/>
      </w:pPr>
      <w:hyperlink w:anchor="sec4" w:history="1">
        <w:r>
          <w:rPr>
            <w:b/>
            <w:color w:val="B01B2E"/>
            <w:sz w:val="21"/>
          </w:rPr>
          <w:t>9. Formato práctico</w:t>
        </w:r>
      </w:hyperlink>
      <w:r>
        <w:rPr>
          <w:b/>
          <w:color w:val="B01B2E"/>
          <w:sz w:val="21"/>
        </w:rPr>
        <w:tab/>
      </w:r>
      <w:hyperlink w:anchor="sec4" w:history="1">
        <w:r>
          <w:rPr>
            <w:b/>
            <w:color w:val="B01B2E"/>
            <w:sz w:val="21"/>
          </w:rPr>
          <w:fldChar w:fldCharType="begin"/>
        </w:r>
        <w:r>
          <w:rPr>
            <w:b/>
            <w:color w:val="B01B2E"/>
            <w:sz w:val="21"/>
          </w:rPr>
          <w:instrText xml:space="preserve"> PAGEREF sec4 \h </w:instrText>
        </w:r>
        <w:r>
          <w:rPr>
            <w:b/>
            <w:color w:val="B01B2E"/>
            <w:sz w:val="21"/>
          </w:rPr>
        </w:r>
        <w:r>
          <w:rPr>
            <w:b/>
            <w:color w:val="B01B2E"/>
            <w:sz w:val="21"/>
          </w:rPr>
          <w:fldChar w:fldCharType="separate"/>
        </w:r>
        <w:r>
          <w:rPr>
            <w:b/>
            <w:color w:val="B01B2E"/>
            <w:sz w:val="21"/>
          </w:rPr>
          <w:t>10</w:t>
        </w:r>
        <w:r>
          <w:rPr>
            <w:b/>
            <w:color w:val="B01B2E"/>
            <w:sz w:val="21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car" w:history="1">
        <w:r>
          <w:rPr>
            <w:sz w:val="19"/>
          </w:rPr>
          <w:t>Carátula de control</w:t>
        </w:r>
      </w:hyperlink>
      <w:r>
        <w:rPr>
          <w:sz w:val="19"/>
        </w:rPr>
        <w:tab/>
      </w:r>
      <w:hyperlink w:anchor="car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car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10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ficha" w:history="1">
        <w:r>
          <w:rPr>
            <w:sz w:val="19"/>
          </w:rPr>
          <w:t>Ficha maestra de la sociedad</w:t>
        </w:r>
      </w:hyperlink>
      <w:r>
        <w:rPr>
          <w:sz w:val="19"/>
        </w:rPr>
        <w:tab/>
      </w:r>
      <w:hyperlink w:anchor="ficha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ficha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10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benef" w:history="1">
        <w:r>
          <w:rPr>
            <w:sz w:val="19"/>
          </w:rPr>
          <w:t>Estructura accionaria y beneficiario controlador</w:t>
        </w:r>
      </w:hyperlink>
      <w:r>
        <w:rPr>
          <w:sz w:val="19"/>
        </w:rPr>
        <w:tab/>
      </w:r>
      <w:hyperlink w:anchor="benef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benef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10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A" w:history="1">
        <w:r>
          <w:rPr>
            <w:sz w:val="19"/>
          </w:rPr>
          <w:t>Sección A - Datos corporativos</w:t>
        </w:r>
      </w:hyperlink>
      <w:r>
        <w:rPr>
          <w:sz w:val="19"/>
        </w:rPr>
        <w:tab/>
      </w:r>
      <w:hyperlink w:anchor="secA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secA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11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B" w:history="1">
        <w:r>
          <w:rPr>
            <w:sz w:val="19"/>
          </w:rPr>
          <w:t>Sección B - Relación de poderes</w:t>
        </w:r>
      </w:hyperlink>
      <w:r>
        <w:rPr>
          <w:sz w:val="19"/>
        </w:rPr>
        <w:tab/>
      </w:r>
      <w:hyperlink w:anchor="secB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secB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12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560" w:right="200"/>
      </w:pPr>
      <w:hyperlink w:anchor="secB1" w:history="1">
        <w:r>
          <w:rPr>
            <w:sz w:val="18"/>
          </w:rPr>
          <w:t>Anexo B-1 - Poderes revocados</w:t>
        </w:r>
      </w:hyperlink>
      <w:r>
        <w:rPr>
          <w:sz w:val="18"/>
        </w:rPr>
        <w:tab/>
      </w:r>
      <w:hyperlink w:anchor="secB1" w:history="1">
        <w:r>
          <w:rPr>
            <w:sz w:val="18"/>
          </w:rPr>
          <w:fldChar w:fldCharType="begin"/>
        </w:r>
        <w:r>
          <w:rPr>
            <w:sz w:val="18"/>
          </w:rPr>
          <w:instrText xml:space="preserve"> PAGEREF secB1 \h </w:instrText>
        </w:r>
        <w:r>
          <w:rPr>
            <w:sz w:val="18"/>
          </w:rPr>
        </w:r>
        <w:r>
          <w:rPr>
            <w:sz w:val="18"/>
          </w:rPr>
          <w:fldChar w:fldCharType="separate"/>
        </w:r>
        <w:r>
          <w:rPr>
            <w:sz w:val="18"/>
          </w:rPr>
          <w:t>12</w:t>
        </w:r>
        <w:r>
          <w:rPr>
            <w:sz w:val="18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D" w:history="1">
        <w:r>
          <w:rPr>
            <w:sz w:val="19"/>
          </w:rPr>
          <w:t>Sección D - Bancario</w:t>
        </w:r>
      </w:hyperlink>
      <w:r>
        <w:rPr>
          <w:sz w:val="19"/>
        </w:rPr>
        <w:tab/>
      </w:r>
      <w:hyperlink w:anchor="secD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secD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13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560" w:right="200"/>
      </w:pPr>
      <w:hyperlink w:anchor="secD1" w:history="1">
        <w:r>
          <w:rPr>
            <w:sz w:val="18"/>
          </w:rPr>
          <w:t>Anexo D-1 - Instrumentos de crédito y plan piso</w:t>
        </w:r>
      </w:hyperlink>
      <w:r>
        <w:rPr>
          <w:sz w:val="18"/>
        </w:rPr>
        <w:tab/>
      </w:r>
      <w:hyperlink w:anchor="secD1" w:history="1">
        <w:r>
          <w:rPr>
            <w:sz w:val="18"/>
          </w:rPr>
          <w:fldChar w:fldCharType="begin"/>
        </w:r>
        <w:r>
          <w:rPr>
            <w:sz w:val="18"/>
          </w:rPr>
          <w:instrText xml:space="preserve"> PAGEREF secD1 \h </w:instrText>
        </w:r>
        <w:r>
          <w:rPr>
            <w:sz w:val="18"/>
          </w:rPr>
        </w:r>
        <w:r>
          <w:rPr>
            <w:sz w:val="18"/>
          </w:rPr>
          <w:fldChar w:fldCharType="separate"/>
        </w:r>
        <w:r>
          <w:rPr>
            <w:sz w:val="18"/>
          </w:rPr>
          <w:t>13</w:t>
        </w:r>
        <w:r>
          <w:rPr>
            <w:sz w:val="18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C" w:history="1">
        <w:r>
          <w:rPr>
            <w:sz w:val="19"/>
          </w:rPr>
          <w:t>Sección C - Fiscal</w:t>
        </w:r>
      </w:hyperlink>
      <w:r>
        <w:rPr>
          <w:sz w:val="19"/>
        </w:rPr>
        <w:tab/>
      </w:r>
      <w:hyperlink w:anchor="secC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secC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14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PLD" w:history="1">
        <w:r>
          <w:rPr>
            <w:sz w:val="19"/>
          </w:rPr>
          <w:t>Sección C-2 - Prevención de lavado de dinero (PLD / UIF)</w:t>
        </w:r>
      </w:hyperlink>
      <w:r>
        <w:rPr>
          <w:sz w:val="19"/>
        </w:rPr>
        <w:tab/>
      </w:r>
      <w:hyperlink w:anchor="secPLD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secPLD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14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E" w:history="1">
        <w:r>
          <w:rPr>
            <w:sz w:val="19"/>
          </w:rPr>
          <w:t>Sección E - Accesos digitales</w:t>
        </w:r>
      </w:hyperlink>
      <w:r>
        <w:rPr>
          <w:sz w:val="19"/>
        </w:rPr>
        <w:tab/>
      </w:r>
      <w:hyperlink w:anchor="secE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secE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14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TI" w:history="1">
        <w:r>
          <w:rPr>
            <w:sz w:val="19"/>
          </w:rPr>
          <w:t>Sección E-2 - Tecnología, respaldos y ciberseguridad</w:t>
        </w:r>
      </w:hyperlink>
      <w:r>
        <w:rPr>
          <w:sz w:val="19"/>
        </w:rPr>
        <w:tab/>
      </w:r>
      <w:hyperlink w:anchor="secTI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secTI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14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F" w:history="1">
        <w:r>
          <w:rPr>
            <w:sz w:val="19"/>
          </w:rPr>
          <w:t>Sección F - Patrimonial y contractual</w:t>
        </w:r>
      </w:hyperlink>
      <w:r>
        <w:rPr>
          <w:sz w:val="19"/>
        </w:rPr>
        <w:tab/>
      </w:r>
      <w:hyperlink w:anchor="secF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secF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15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G" w:history="1">
        <w:r>
          <w:rPr>
            <w:sz w:val="19"/>
          </w:rPr>
          <w:t>Sección G - Laboral y seguridad social</w:t>
        </w:r>
      </w:hyperlink>
      <w:r>
        <w:rPr>
          <w:sz w:val="19"/>
        </w:rPr>
        <w:tab/>
      </w:r>
      <w:hyperlink w:anchor="secG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secG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15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H" w:history="1">
        <w:r>
          <w:rPr>
            <w:sz w:val="19"/>
          </w:rPr>
          <w:t>Sección H - Sellos, valores y accesos físicos</w:t>
        </w:r>
      </w:hyperlink>
      <w:r>
        <w:rPr>
          <w:sz w:val="19"/>
        </w:rPr>
        <w:tab/>
      </w:r>
      <w:hyperlink w:anchor="secH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secH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15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I" w:history="1">
        <w:r>
          <w:rPr>
            <w:sz w:val="19"/>
          </w:rPr>
          <w:t>Sección I - Registro Público Vehicular (REPUVE)</w:t>
        </w:r>
      </w:hyperlink>
      <w:r>
        <w:rPr>
          <w:sz w:val="19"/>
        </w:rPr>
        <w:tab/>
      </w:r>
      <w:hyperlink w:anchor="secI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secI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16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Per" w:history="1">
        <w:r>
          <w:rPr>
            <w:sz w:val="19"/>
          </w:rPr>
          <w:t>Sección M - Personas clave y directorio de emergencia</w:t>
        </w:r>
      </w:hyperlink>
      <w:r>
        <w:rPr>
          <w:sz w:val="19"/>
        </w:rPr>
        <w:tab/>
      </w:r>
      <w:hyperlink w:anchor="secPer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secPer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16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560" w:right="200"/>
      </w:pPr>
      <w:hyperlink w:anchor="secPer1" w:history="1">
        <w:r>
          <w:rPr>
            <w:sz w:val="18"/>
          </w:rPr>
          <w:t>Directorio de emergencia</w:t>
        </w:r>
      </w:hyperlink>
      <w:r>
        <w:rPr>
          <w:sz w:val="18"/>
        </w:rPr>
        <w:tab/>
      </w:r>
      <w:hyperlink w:anchor="secPer1" w:history="1">
        <w:r>
          <w:rPr>
            <w:sz w:val="18"/>
          </w:rPr>
          <w:fldChar w:fldCharType="begin"/>
        </w:r>
        <w:r>
          <w:rPr>
            <w:sz w:val="18"/>
          </w:rPr>
          <w:instrText xml:space="preserve"> PAGEREF secPer1 \h </w:instrText>
        </w:r>
        <w:r>
          <w:rPr>
            <w:sz w:val="18"/>
          </w:rPr>
        </w:r>
        <w:r>
          <w:rPr>
            <w:sz w:val="18"/>
          </w:rPr>
          <w:fldChar w:fldCharType="separate"/>
        </w:r>
        <w:r>
          <w:rPr>
            <w:sz w:val="18"/>
          </w:rPr>
          <w:t>16</w:t>
        </w:r>
        <w:r>
          <w:rPr>
            <w:sz w:val="18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J" w:history="1">
        <w:r>
          <w:rPr>
            <w:sz w:val="19"/>
          </w:rPr>
          <w:t>Sección J - Bitácora de actualizaciones</w:t>
        </w:r>
      </w:hyperlink>
      <w:r>
        <w:rPr>
          <w:sz w:val="19"/>
        </w:rPr>
        <w:tab/>
      </w:r>
      <w:hyperlink w:anchor="secJ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secJ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16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K" w:history="1">
        <w:r>
          <w:rPr>
            <w:sz w:val="19"/>
          </w:rPr>
          <w:t>Sección K - Bitácora de acceso al sobre confidencial</w:t>
        </w:r>
      </w:hyperlink>
      <w:r>
        <w:rPr>
          <w:sz w:val="19"/>
        </w:rPr>
        <w:tab/>
      </w:r>
      <w:hyperlink w:anchor="secK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secK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17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Ver" w:history="1">
        <w:r>
          <w:rPr>
            <w:sz w:val="19"/>
          </w:rPr>
          <w:t>Sección N - Bitácora de versiones</w:t>
        </w:r>
      </w:hyperlink>
      <w:r>
        <w:rPr>
          <w:sz w:val="19"/>
        </w:rPr>
        <w:tab/>
      </w:r>
      <w:hyperlink w:anchor="secVer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secVer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17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secL" w:history="1">
        <w:r>
          <w:rPr>
            <w:sz w:val="19"/>
          </w:rPr>
          <w:t>Sección L - Protocolo de contingencia</w:t>
        </w:r>
      </w:hyperlink>
      <w:r>
        <w:rPr>
          <w:sz w:val="19"/>
        </w:rPr>
        <w:tab/>
      </w:r>
      <w:hyperlink w:anchor="secL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secL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18</w:t>
        </w:r>
        <w:r>
          <w:rPr>
            <w:sz w:val="19"/>
          </w:rPr>
          <w:fldChar w:fldCharType="end"/>
        </w:r>
      </w:hyperlink>
    </w:p>
    <w:p w:rsidR="00FE6F22" w:rsidRDefault="00000000">
      <w:pPr>
        <w:tabs>
          <w:tab w:val="right" w:leader="dot" w:pos="10240"/>
        </w:tabs>
        <w:spacing w:before="20" w:after="20"/>
        <w:ind w:left="280" w:right="200"/>
      </w:pPr>
      <w:hyperlink w:anchor="firmas" w:history="1">
        <w:r>
          <w:rPr>
            <w:sz w:val="19"/>
          </w:rPr>
          <w:t>Hoja de firmas</w:t>
        </w:r>
      </w:hyperlink>
      <w:r>
        <w:rPr>
          <w:sz w:val="19"/>
        </w:rPr>
        <w:tab/>
      </w:r>
      <w:hyperlink w:anchor="firmas" w:history="1">
        <w:r>
          <w:rPr>
            <w:sz w:val="19"/>
          </w:rPr>
          <w:fldChar w:fldCharType="begin"/>
        </w:r>
        <w:r>
          <w:rPr>
            <w:sz w:val="19"/>
          </w:rPr>
          <w:instrText xml:space="preserve"> PAGEREF firmas \h </w:instrText>
        </w:r>
        <w:r>
          <w:rPr>
            <w:sz w:val="19"/>
          </w:rPr>
        </w:r>
        <w:r>
          <w:rPr>
            <w:sz w:val="19"/>
          </w:rPr>
          <w:fldChar w:fldCharType="separate"/>
        </w:r>
        <w:r>
          <w:rPr>
            <w:sz w:val="19"/>
          </w:rPr>
          <w:t>18</w:t>
        </w:r>
        <w:r>
          <w:rPr>
            <w:sz w:val="19"/>
          </w:rPr>
          <w:fldChar w:fldCharType="end"/>
        </w:r>
      </w:hyperlink>
    </w:p>
    <w:p w:rsidR="00FE6F22" w:rsidRDefault="00000000">
      <w:r>
        <w:fldChar w:fldCharType="end"/>
      </w:r>
    </w:p>
    <w:p w:rsidR="00FE6F22" w:rsidRDefault="00000000">
      <w:r>
        <w:br w:type="page"/>
      </w:r>
    </w:p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0" w:name="sec1"/>
      <w:r>
        <w:rPr>
          <w:b/>
          <w:bCs/>
          <w:color w:val="B01B2E"/>
          <w:sz w:val="30"/>
          <w:szCs w:val="30"/>
        </w:rPr>
        <w:lastRenderedPageBreak/>
        <w:t>1. Objetivo</w:t>
      </w:r>
      <w:bookmarkEnd w:id="0"/>
    </w:p>
    <w:p w:rsidR="00FE6F22" w:rsidRDefault="00000000">
      <w:pPr>
        <w:spacing w:before="40" w:after="40"/>
      </w:pPr>
      <w:r>
        <w:t>Establecer un instrumento único, centralizado y permanentemente actualizado, el Libro Rojo Corporativo, que concentre la relación de poderes otorgados, credenciales críticas, medios de identificación electrónica, responsables de obligaciones fiscales y demas valores sensibles de la agencia, a fin de:</w:t>
      </w:r>
    </w:p>
    <w:p w:rsidR="00FE6F22" w:rsidRDefault="00000000">
      <w:pPr>
        <w:pStyle w:val="ListParagraph"/>
        <w:numPr>
          <w:ilvl w:val="0"/>
          <w:numId w:val="2"/>
        </w:numPr>
        <w:spacing w:before="25" w:after="25"/>
      </w:pPr>
      <w:r>
        <w:t>Garantizar la continuidad operativa ante ausencia, incapacidad, separación o fallecimiento de directivos y apoderados.</w:t>
      </w:r>
    </w:p>
    <w:p w:rsidR="00FE6F22" w:rsidRDefault="00000000">
      <w:pPr>
        <w:pStyle w:val="ListParagraph"/>
        <w:numPr>
          <w:ilvl w:val="0"/>
          <w:numId w:val="2"/>
        </w:numPr>
        <w:spacing w:before="25" w:after="25"/>
      </w:pPr>
      <w:r>
        <w:t>Permitir el acceso inmediato y confiable a información crítica en supuestos de urgencia, contingencia, auditoría o requerimiento de autoridad.</w:t>
      </w:r>
    </w:p>
    <w:p w:rsidR="00FE6F22" w:rsidRDefault="00000000">
      <w:pPr>
        <w:pStyle w:val="ListParagraph"/>
        <w:numPr>
          <w:ilvl w:val="0"/>
          <w:numId w:val="2"/>
        </w:numPr>
        <w:spacing w:before="25" w:after="25"/>
      </w:pPr>
      <w:r>
        <w:t>Mantener control y trazabilidad sobre el alcance, vigencia y revocación de los poderes otorgados por la sociedad.</w:t>
      </w:r>
    </w:p>
    <w:p w:rsidR="00FE6F22" w:rsidRDefault="00000000">
      <w:pPr>
        <w:pStyle w:val="ListParagraph"/>
        <w:numPr>
          <w:ilvl w:val="0"/>
          <w:numId w:val="2"/>
        </w:numPr>
        <w:spacing w:before="25" w:after="25"/>
      </w:pPr>
      <w:r>
        <w:t>Mitigar riesgos de fraude interno, uso indebido de facultades y suplantación.</w:t>
      </w:r>
    </w:p>
    <w:p w:rsidR="00FE6F22" w:rsidRDefault="00000000">
      <w:pPr>
        <w:pStyle w:val="ListParagraph"/>
        <w:numPr>
          <w:ilvl w:val="0"/>
          <w:numId w:val="2"/>
        </w:numPr>
        <w:spacing w:before="25" w:after="25"/>
      </w:pPr>
      <w:r>
        <w:t>Facilitar procesos de debida diligencia, auditoría externa, revisión bancaria y operaciones corporativas.</w:t>
      </w:r>
    </w:p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1" w:name="sec2"/>
      <w:r>
        <w:rPr>
          <w:b/>
          <w:bCs/>
          <w:color w:val="B01B2E"/>
          <w:sz w:val="30"/>
          <w:szCs w:val="30"/>
        </w:rPr>
        <w:t>2. Alcance</w:t>
      </w:r>
      <w:bookmarkEnd w:id="1"/>
    </w:p>
    <w:p w:rsidR="00FE6F22" w:rsidRDefault="00000000">
      <w:pPr>
        <w:spacing w:before="40" w:after="40"/>
      </w:pPr>
      <w:r>
        <w:t>Aplica a la totalidad de las personas morales que integran el grupo de la agencia (distribuidora, inmobiliaria, arrendadora, servicios, entre otras), y comprende las siguientes categorias:</w:t>
      </w:r>
    </w:p>
    <w:p w:rsidR="00FE6F22" w:rsidRDefault="00000000">
      <w:pPr>
        <w:spacing w:after="8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7747"/>
      </w:tblGrid>
      <w:tr w:rsidR="00FE6F22">
        <w:trPr>
          <w:tblHeader/>
        </w:trPr>
        <w:tc>
          <w:tcPr>
            <w:tcW w:w="269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Categoria</w:t>
            </w:r>
          </w:p>
        </w:tc>
        <w:tc>
          <w:tcPr>
            <w:tcW w:w="774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Contenido mínimo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A. Corporativo</w:t>
            </w:r>
          </w:p>
        </w:tc>
        <w:tc>
          <w:tcPr>
            <w:tcW w:w="774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Actas constitutivas, libros corporativos, RPPC, folio mercantil</w:t>
            </w:r>
          </w:p>
        </w:tc>
      </w:tr>
      <w:tr w:rsidR="00FE6F22">
        <w:tc>
          <w:tcPr>
            <w:tcW w:w="26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B. Poderes</w:t>
            </w:r>
          </w:p>
        </w:tc>
        <w:tc>
          <w:tcPr>
            <w:tcW w:w="774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Poderes generales y especiales, apoderados, límites, vigencia, revocaciones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C. Fiscal</w:t>
            </w:r>
          </w:p>
        </w:tc>
        <w:tc>
          <w:tcPr>
            <w:tcW w:w="774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e.firma (FIEL), contraseña SAT, buzón tributario, CSD, responsables de revisión</w:t>
            </w:r>
          </w:p>
        </w:tc>
      </w:tr>
      <w:tr w:rsidR="00FE6F22">
        <w:tc>
          <w:tcPr>
            <w:tcW w:w="26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D. Bancario</w:t>
            </w:r>
          </w:p>
        </w:tc>
        <w:tc>
          <w:tcPr>
            <w:tcW w:w="774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Cuentas, firmas autorizadas, tokens, banca electrónica, mancomunidades, plan piso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E. Digital</w:t>
            </w:r>
          </w:p>
        </w:tc>
        <w:tc>
          <w:tcPr>
            <w:tcW w:w="774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Dominios, correo corporativo, DMS, ERP, plataformas de armadora, PAC</w:t>
            </w:r>
          </w:p>
        </w:tc>
      </w:tr>
      <w:tr w:rsidR="00FE6F22">
        <w:tc>
          <w:tcPr>
            <w:tcW w:w="26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F. Patrimonial</w:t>
            </w:r>
          </w:p>
        </w:tc>
        <w:tc>
          <w:tcPr>
            <w:tcW w:w="774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Escrituras, títulos, contratos de concesión y distribución, pólizas, marcas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G. Laboral / IMSS</w:t>
            </w:r>
          </w:p>
        </w:tc>
        <w:tc>
          <w:tcPr>
            <w:tcW w:w="774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IDSE, SUA, INFONAVIT, firmas de nómina, reglamento interior de trabajo</w:t>
            </w:r>
          </w:p>
        </w:tc>
      </w:tr>
      <w:tr w:rsidR="00FE6F22">
        <w:tc>
          <w:tcPr>
            <w:tcW w:w="26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H. Sellos y valores</w:t>
            </w:r>
          </w:p>
        </w:tc>
        <w:tc>
          <w:tcPr>
            <w:tcW w:w="774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Sellos sociales, chequeras, pagarés en blanco, cajas fuertes, facturas de unidades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I. REPUVE</w:t>
            </w:r>
          </w:p>
        </w:tc>
        <w:tc>
          <w:tcPr>
            <w:tcW w:w="774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Registro como sujeto obligado y claves de acceso al portal</w:t>
            </w:r>
          </w:p>
        </w:tc>
      </w:tr>
    </w:tbl>
    <w:p w:rsidR="00FE6F22" w:rsidRDefault="00000000">
      <w:pPr>
        <w:spacing w:after="60"/>
      </w:pPr>
      <w:r>
        <w:t xml:space="preserve"> </w:t>
      </w:r>
    </w:p>
    <w:p w:rsidR="00FE6F22" w:rsidRDefault="00000000">
      <w:pPr>
        <w:spacing w:before="40" w:after="40"/>
      </w:pPr>
      <w:r>
        <w:rPr>
          <w:b/>
          <w:bCs/>
        </w:rPr>
        <w:t xml:space="preserve">No aplica </w:t>
      </w:r>
      <w:r>
        <w:t>a documentación operativa ordinaria ni a expedientes individuales de clientes.</w:t>
      </w:r>
    </w:p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2" w:name="reglas"/>
      <w:r>
        <w:rPr>
          <w:b/>
          <w:bCs/>
          <w:color w:val="B01B2E"/>
          <w:sz w:val="30"/>
          <w:szCs w:val="30"/>
        </w:rPr>
        <w:t>3. Reglas no negociables</w:t>
      </w:r>
      <w:bookmarkEnd w:id="2"/>
    </w:p>
    <w:p w:rsidR="00FE6F22" w:rsidRDefault="00000000">
      <w:pPr>
        <w:spacing w:before="40" w:after="40"/>
      </w:pPr>
      <w:r>
        <w:t>Cuatro principios rigen la operación del Libro Rojo. Su incumplimiento anula el valor del instrumento y puede agravar la responsabilidad de la sociedad.</w:t>
      </w:r>
    </w:p>
    <w:p w:rsidR="00FE6F22" w:rsidRDefault="00000000">
      <w:pPr>
        <w:spacing w:after="6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7240"/>
      </w:tblGrid>
      <w:tr w:rsidR="00FE6F22">
        <w:trPr>
          <w:tblHeader/>
        </w:trPr>
        <w:tc>
          <w:tcPr>
            <w:tcW w:w="32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Regla</w:t>
            </w:r>
          </w:p>
        </w:tc>
        <w:tc>
          <w:tcPr>
            <w:tcW w:w="72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</w:tr>
      <w:tr w:rsidR="00FE6F22"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REGLA 1 No es una bóveda de contraseñas</w:t>
            </w:r>
          </w:p>
        </w:tc>
        <w:tc>
          <w:tcPr>
            <w:tcW w:w="72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Registra responsables, niveles de acceso, vigencias y ubicación segura. Nunca contraseñas, NIP, llaves privadas, códigos MFA ni respuestas de recuperación.</w:t>
            </w:r>
          </w:p>
        </w:tc>
      </w:tr>
      <w:tr w:rsidR="00FE6F22">
        <w:tc>
          <w:tcPr>
            <w:tcW w:w="3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REGLA 2 Doble custodia</w:t>
            </w:r>
          </w:p>
        </w:tc>
        <w:tc>
          <w:tcPr>
            <w:tcW w:w="72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Toda función crítica debe contar con responsable y suplente, con segregación de funciones y evidencia de que ambos pueden ejecutar el procedimiento.</w:t>
            </w:r>
          </w:p>
        </w:tc>
      </w:tr>
      <w:tr w:rsidR="00FE6F22"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REGLA 3 Actualizacion permanente</w:t>
            </w:r>
          </w:p>
        </w:tc>
        <w:tc>
          <w:tcPr>
            <w:tcW w:w="72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Actualización inmediata ante cambios de apoderados, firmantes, personal, cuentas, certificados, equipos, contratos o sistemas. Revisión integral trimestral.</w:t>
            </w:r>
          </w:p>
        </w:tc>
      </w:tr>
      <w:tr w:rsidR="00FE6F22">
        <w:tc>
          <w:tcPr>
            <w:tcW w:w="3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REGLA 4 Acceso por necesidad</w:t>
            </w:r>
          </w:p>
        </w:tc>
        <w:tc>
          <w:tcPr>
            <w:tcW w:w="72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El documento completo solo es accesible a las personas autorizadas por la alta dirección. Las secciones sensibles pueden mantenerse separadas y cifradas.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spacing w:before="40" w:after="40"/>
      </w:pPr>
      <w:r>
        <w:rPr>
          <w:b/>
          <w:bCs/>
          <w:color w:val="B01B2E"/>
        </w:rPr>
        <w:t xml:space="preserve">Advertencia de implementación. </w:t>
      </w:r>
      <w:r>
        <w:rPr>
          <w:i/>
          <w:iCs/>
        </w:rPr>
        <w:t>Este modelo debe adaptarse a la estructura y riesgos de cada distribuidora, con intervención coordinada de las áreas jurídica, fiscal, prevención de lavado de dinero, finanzas, tecnologías de la información, recursos humanos y auditoría interna. No sustituye asesoría especializada ni los procedimientos oficiales de las autoridades o plataformas.</w:t>
      </w:r>
    </w:p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3" w:name="gob"/>
      <w:r>
        <w:rPr>
          <w:b/>
          <w:bCs/>
          <w:color w:val="B01B2E"/>
          <w:sz w:val="30"/>
          <w:szCs w:val="30"/>
        </w:rPr>
        <w:lastRenderedPageBreak/>
        <w:t>4. Gobernanza del documento</w:t>
      </w:r>
      <w:bookmarkEnd w:id="3"/>
    </w:p>
    <w:p w:rsidR="00FE6F22" w:rsidRDefault="00000000">
      <w:pPr>
        <w:spacing w:before="40" w:after="40"/>
      </w:pPr>
      <w:r>
        <w:t>El Libro Rojo requiere propietarios formales. Sin roles designados por escrito, el documento se desactualiza y pierde valor operativo.</w:t>
      </w:r>
    </w:p>
    <w:p w:rsidR="00FE6F22" w:rsidRDefault="00000000">
      <w:pPr>
        <w:spacing w:after="6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4" w:name="gob1"/>
      <w:r>
        <w:rPr>
          <w:b/>
          <w:bCs/>
          <w:color w:val="1A1A1A"/>
          <w:sz w:val="24"/>
          <w:szCs w:val="24"/>
        </w:rPr>
        <w:t>4.1 Roles y responsabilidades</w:t>
      </w:r>
      <w:bookmarkEnd w:id="4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4140"/>
        <w:gridCol w:w="2100"/>
        <w:gridCol w:w="2100"/>
      </w:tblGrid>
      <w:tr w:rsidR="00FE6F22">
        <w:trPr>
          <w:tblHeader/>
        </w:trPr>
        <w:tc>
          <w:tcPr>
            <w:tcW w:w="21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Rol</w:t>
            </w:r>
          </w:p>
        </w:tc>
        <w:tc>
          <w:tcPr>
            <w:tcW w:w="41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Responsabilidad principal</w:t>
            </w:r>
          </w:p>
        </w:tc>
        <w:tc>
          <w:tcPr>
            <w:tcW w:w="21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Nombre / Cargo</w:t>
            </w:r>
          </w:p>
        </w:tc>
        <w:tc>
          <w:tcPr>
            <w:tcW w:w="21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Suplente</w:t>
            </w:r>
          </w:p>
        </w:tc>
      </w:tr>
      <w:tr w:rsidR="00FE6F22"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Propietario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Autoriza, prioriza y exige actualización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Administrador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Integra, controla versiones y coordina revisiones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Custodio digital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Administra repositorio cifrado, respaldos y accesos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Custodio físico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Resguarda copia física y control de aperturas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Validadores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Jurídico, Fiscal, PLD, Finanzas, TI, RH y Operaciones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Auditor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Verifica integridad, vigencias y pruebas de recuperación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E6F22" w:rsidRDefault="00000000">
      <w:pPr>
        <w:spacing w:after="10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5" w:name="gob2"/>
      <w:r>
        <w:rPr>
          <w:b/>
          <w:bCs/>
          <w:color w:val="1A1A1A"/>
          <w:sz w:val="24"/>
          <w:szCs w:val="24"/>
        </w:rPr>
        <w:t>4.2 Criterios de criticidad</w:t>
      </w:r>
      <w:bookmarkEnd w:id="5"/>
    </w:p>
    <w:p w:rsidR="00FE6F22" w:rsidRDefault="00000000">
      <w:pPr>
        <w:spacing w:before="40" w:after="40"/>
      </w:pPr>
      <w:r>
        <w:t>Clasifique cada registro según el tiempo máximo tolerable de recuperación. Determina el orden de atención en contingencia.</w:t>
      </w:r>
    </w:p>
    <w:p w:rsidR="00FE6F22" w:rsidRDefault="00000000">
      <w:pPr>
        <w:spacing w:after="5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FE6F22">
        <w:trPr>
          <w:tblHeader/>
        </w:trPr>
        <w:tc>
          <w:tcPr>
            <w:tcW w:w="261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CRÍTICO</w:t>
            </w:r>
          </w:p>
        </w:tc>
        <w:tc>
          <w:tcPr>
            <w:tcW w:w="261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ALTO</w:t>
            </w:r>
          </w:p>
        </w:tc>
        <w:tc>
          <w:tcPr>
            <w:tcW w:w="261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MEDIO</w:t>
            </w:r>
          </w:p>
        </w:tc>
        <w:tc>
          <w:tcPr>
            <w:tcW w:w="261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BAJO</w:t>
            </w:r>
          </w:p>
        </w:tc>
      </w:tr>
      <w:tr w:rsidR="00FE6F22">
        <w:tc>
          <w:tcPr>
            <w:tcW w:w="2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Recuperación menor a 4 horas</w:t>
            </w:r>
          </w:p>
        </w:tc>
        <w:tc>
          <w:tcPr>
            <w:tcW w:w="2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Recuperación menor a 24 horas</w:t>
            </w:r>
          </w:p>
        </w:tc>
        <w:tc>
          <w:tcPr>
            <w:tcW w:w="2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Recuperación menor a 72 horas</w:t>
            </w:r>
          </w:p>
        </w:tc>
        <w:tc>
          <w:tcPr>
            <w:tcW w:w="26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Diferible más de 72 horas</w:t>
            </w:r>
          </w:p>
        </w:tc>
      </w:tr>
    </w:tbl>
    <w:p w:rsidR="00FE6F22" w:rsidRDefault="00000000">
      <w:pPr>
        <w:spacing w:after="10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6" w:name="gob3"/>
      <w:r>
        <w:rPr>
          <w:b/>
          <w:bCs/>
          <w:color w:val="1A1A1A"/>
          <w:sz w:val="24"/>
          <w:szCs w:val="24"/>
        </w:rPr>
        <w:t>4.3 Implementación en 30 días</w:t>
      </w:r>
      <w:bookmarkEnd w:id="6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8340"/>
      </w:tblGrid>
      <w:tr w:rsidR="00FE6F22">
        <w:trPr>
          <w:tblHeader/>
        </w:trPr>
        <w:tc>
          <w:tcPr>
            <w:tcW w:w="21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Semana</w:t>
            </w:r>
          </w:p>
        </w:tc>
        <w:tc>
          <w:tcPr>
            <w:tcW w:w="83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Acciones</w:t>
            </w:r>
          </w:p>
        </w:tc>
      </w:tr>
      <w:tr w:rsidR="00FE6F22"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SEMANA 1</w:t>
            </w:r>
          </w:p>
        </w:tc>
        <w:tc>
          <w:tcPr>
            <w:tcW w:w="83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Designar propietario, suplente y comité de validación. Definir alcance, clasificación de información y repositorio seguro.</w:t>
            </w:r>
          </w:p>
        </w:tc>
      </w:tr>
      <w:tr w:rsidR="00FE6F22"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SEMANA 2</w:t>
            </w:r>
          </w:p>
        </w:tc>
        <w:tc>
          <w:tcPr>
            <w:tcW w:w="83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Levantar inventarios: poderes, cuentas, accesos, certificados, sistemas, contratos, pólizas y responsables.</w:t>
            </w:r>
          </w:p>
        </w:tc>
      </w:tr>
      <w:tr w:rsidR="00FE6F22"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SEMANA 3</w:t>
            </w:r>
          </w:p>
        </w:tc>
        <w:tc>
          <w:tcPr>
            <w:tcW w:w="83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Validar vigencias, revocaciones, suplencias, rutas de recuperación y evidencias documentales. Corregir brechas críticas.</w:t>
            </w:r>
          </w:p>
        </w:tc>
      </w:tr>
      <w:tr w:rsidR="00FE6F22"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SEMANA 4</w:t>
            </w:r>
          </w:p>
        </w:tc>
        <w:tc>
          <w:tcPr>
            <w:tcW w:w="83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Aprobar el Libro Rojo, realizar simulacro, capacitar custodios y establecer calendario trimestral de revisión.</w:t>
            </w:r>
          </w:p>
        </w:tc>
      </w:tr>
    </w:tbl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7" w:name="tab"/>
      <w:r>
        <w:rPr>
          <w:b/>
          <w:bCs/>
          <w:color w:val="B01B2E"/>
          <w:sz w:val="30"/>
          <w:szCs w:val="30"/>
        </w:rPr>
        <w:t>5. Tablero ejecutivo</w:t>
      </w:r>
      <w:bookmarkEnd w:id="7"/>
    </w:p>
    <w:p w:rsidR="00FE6F22" w:rsidRDefault="00000000">
      <w:pPr>
        <w:spacing w:before="40" w:after="40"/>
      </w:pPr>
      <w:r>
        <w:t>Vista rápida del estado del Libro Rojo. Registre en cada revisión trimestral el valor de cada indicador para conocer, de un vistazo, qué tan completo y actualizado está el documento.</w:t>
      </w:r>
    </w:p>
    <w:p w:rsidR="00FE6F22" w:rsidRDefault="00000000">
      <w:pPr>
        <w:spacing w:after="6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4740"/>
        <w:gridCol w:w="2700"/>
      </w:tblGrid>
      <w:tr w:rsidR="00FE6F22">
        <w:trPr>
          <w:tblHeader/>
        </w:trPr>
        <w:tc>
          <w:tcPr>
            <w:tcW w:w="30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Indicador</w:t>
            </w:r>
          </w:p>
        </w:tc>
        <w:tc>
          <w:tcPr>
            <w:tcW w:w="47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¿Qué mide?</w:t>
            </w:r>
          </w:p>
        </w:tc>
        <w:tc>
          <w:tcPr>
            <w:tcW w:w="27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Valor actual</w:t>
            </w:r>
          </w:p>
        </w:tc>
      </w:tr>
      <w:tr w:rsidR="00FE6F22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Secciones completas (%)</w:t>
            </w:r>
          </w:p>
        </w:tc>
        <w:tc>
          <w:tcPr>
            <w:tcW w:w="4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Porcentaje de secciones con toda su información capturada</w:t>
            </w:r>
          </w:p>
        </w:tc>
        <w:tc>
          <w:tcPr>
            <w:tcW w:w="2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Registros vencidos</w:t>
            </w:r>
          </w:p>
        </w:tc>
        <w:tc>
          <w:tcPr>
            <w:tcW w:w="47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Número de poderes, certificados o pólizas con vigencia expirada</w:t>
            </w:r>
          </w:p>
        </w:tc>
        <w:tc>
          <w:tcPr>
            <w:tcW w:w="27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Suplencias sin prueba</w:t>
            </w:r>
          </w:p>
        </w:tc>
        <w:tc>
          <w:tcPr>
            <w:tcW w:w="4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Funciones críticas cuyo suplente aún no ha sido probado</w:t>
            </w:r>
          </w:p>
        </w:tc>
        <w:tc>
          <w:tcPr>
            <w:tcW w:w="2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Fecha del último simulacro</w:t>
            </w:r>
          </w:p>
        </w:tc>
        <w:tc>
          <w:tcPr>
            <w:tcW w:w="47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Última vez que se ejecutó un simulacro de contingencia</w:t>
            </w:r>
          </w:p>
        </w:tc>
        <w:tc>
          <w:tcPr>
            <w:tcW w:w="27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10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8" w:name="tab1"/>
      <w:r>
        <w:rPr>
          <w:b/>
          <w:bCs/>
          <w:color w:val="1A1A1A"/>
          <w:sz w:val="24"/>
          <w:szCs w:val="24"/>
        </w:rPr>
        <w:t>5.1 Semáforo de secciones</w:t>
      </w:r>
      <w:bookmarkEnd w:id="8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100"/>
        <w:gridCol w:w="1740"/>
        <w:gridCol w:w="1800"/>
        <w:gridCol w:w="2300"/>
      </w:tblGrid>
      <w:tr w:rsidR="00FE6F22">
        <w:trPr>
          <w:tblHeader/>
        </w:trPr>
        <w:tc>
          <w:tcPr>
            <w:tcW w:w="25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Sección</w:t>
            </w:r>
          </w:p>
        </w:tc>
        <w:tc>
          <w:tcPr>
            <w:tcW w:w="21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Responsable</w:t>
            </w:r>
          </w:p>
        </w:tc>
        <w:tc>
          <w:tcPr>
            <w:tcW w:w="17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Estado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Última revisión</w:t>
            </w:r>
          </w:p>
        </w:tc>
        <w:tc>
          <w:tcPr>
            <w:tcW w:w="23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Siguiente acción</w:t>
            </w:r>
          </w:p>
        </w:tc>
      </w:tr>
      <w:tr w:rsidR="00FE6F22"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Gobierno corporativo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lastRenderedPageBreak/>
              <w:t>Poderes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SAT y fiscal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PLD / UIF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REPUVE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Bancos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Tecnología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Contratos y seguros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Personas y sucesión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Plan de crisis</w:t>
            </w:r>
          </w:p>
        </w:tc>
        <w:tc>
          <w:tcPr>
            <w:tcW w:w="21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Rojo / Ámbar / Verde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9" w:name="play"/>
      <w:r>
        <w:rPr>
          <w:b/>
          <w:bCs/>
          <w:color w:val="B01B2E"/>
          <w:sz w:val="30"/>
          <w:szCs w:val="30"/>
        </w:rPr>
        <w:t>6. Protocolos de respuesta ante crisis</w:t>
      </w:r>
      <w:bookmarkEnd w:id="9"/>
    </w:p>
    <w:p w:rsidR="00FE6F22" w:rsidRDefault="00000000">
      <w:pPr>
        <w:pStyle w:val="Heading2"/>
        <w:spacing w:before="160" w:after="70"/>
      </w:pPr>
      <w:bookmarkStart w:id="10" w:name="play0"/>
      <w:r>
        <w:rPr>
          <w:b/>
          <w:bCs/>
          <w:color w:val="1A1A1A"/>
          <w:sz w:val="24"/>
          <w:szCs w:val="24"/>
        </w:rPr>
        <w:t>6.1 Protocolo universal de 6 pasos</w:t>
      </w:r>
      <w:bookmarkEnd w:id="10"/>
    </w:p>
    <w:p w:rsidR="00FE6F22" w:rsidRDefault="00000000">
      <w:pPr>
        <w:spacing w:before="40" w:after="40"/>
      </w:pPr>
      <w:r>
        <w:t>Aplicable a cualquier contingencia, antes de recurrir al protocolo específico.</w:t>
      </w:r>
    </w:p>
    <w:p w:rsidR="00FE6F22" w:rsidRDefault="00000000">
      <w:pPr>
        <w:spacing w:after="5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840"/>
      </w:tblGrid>
      <w:tr w:rsidR="00FE6F22">
        <w:trPr>
          <w:tblHeader/>
        </w:trPr>
        <w:tc>
          <w:tcPr>
            <w:tcW w:w="2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Paso</w:t>
            </w:r>
          </w:p>
        </w:tc>
        <w:tc>
          <w:tcPr>
            <w:tcW w:w="78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Acción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1 · PROTEGER</w:t>
            </w:r>
          </w:p>
        </w:tc>
        <w:tc>
          <w:tcPr>
            <w:tcW w:w="7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Personas, activos, evidencia y accesos.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2 · CONFIRMAR</w:t>
            </w:r>
          </w:p>
        </w:tc>
        <w:tc>
          <w:tcPr>
            <w:tcW w:w="7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Que ocurrió, alcance y sistemas afectados.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3 · ACTIVAR</w:t>
            </w:r>
          </w:p>
        </w:tc>
        <w:tc>
          <w:tcPr>
            <w:tcW w:w="7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Líder, suplentes, asesores y proveedores.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4 · CONTENER</w:t>
            </w:r>
          </w:p>
        </w:tc>
        <w:tc>
          <w:tcPr>
            <w:tcW w:w="7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Evitar que el impacto aumente.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5 · RECUPERAR</w:t>
            </w:r>
          </w:p>
        </w:tc>
        <w:tc>
          <w:tcPr>
            <w:tcW w:w="7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Restablecer operación priorizada.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6 · DOCUMENTAR</w:t>
            </w:r>
          </w:p>
        </w:tc>
        <w:tc>
          <w:tcPr>
            <w:tcW w:w="7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Decisiones, tiempos, evidencias y lecciones.</w:t>
            </w:r>
          </w:p>
        </w:tc>
      </w:tr>
    </w:tbl>
    <w:p w:rsidR="00FE6F22" w:rsidRDefault="00000000">
      <w:pPr>
        <w:spacing w:after="12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11" w:name="play1"/>
      <w:r>
        <w:rPr>
          <w:b/>
          <w:bCs/>
          <w:color w:val="1A1A1A"/>
          <w:sz w:val="24"/>
          <w:szCs w:val="24"/>
        </w:rPr>
        <w:t>6.2 Escenarios específicos</w:t>
      </w:r>
      <w:bookmarkEnd w:id="11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4640"/>
        <w:gridCol w:w="1800"/>
        <w:gridCol w:w="1400"/>
      </w:tblGrid>
      <w:tr w:rsidR="00FE6F22">
        <w:trPr>
          <w:tblHeader/>
        </w:trPr>
        <w:tc>
          <w:tcPr>
            <w:tcW w:w="2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Escenario</w:t>
            </w:r>
          </w:p>
        </w:tc>
        <w:tc>
          <w:tcPr>
            <w:tcW w:w="46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Acciones críticas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Responsable</w:t>
            </w:r>
          </w:p>
        </w:tc>
        <w:tc>
          <w:tcPr>
            <w:tcW w:w="14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Plazo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Ausencia, incapacidad o fallecimiento de apoderado</w:t>
            </w:r>
          </w:p>
        </w:tc>
        <w:tc>
          <w:tcPr>
            <w:tcW w:w="4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Activar suplente, verificar alcance de poderes vigentes, notificar a bancos, convocar órgano de administración y evaluar revocación o nuevo otorgamiento.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Custodio / Jurídico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48 horas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Token bancario, fraude o bloqueo de cuenta</w:t>
            </w:r>
          </w:p>
        </w:tc>
        <w:tc>
          <w:tcPr>
            <w:tcW w:w="4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Bloquear accesos, notificar al banco por canal formal, preservar evidencia, presentar denuncia y designar cuenta alterna de operación.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Finanzas / Jurídico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Inmediato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Pérdida, compromiso o vencimiento de e.firma</w:t>
            </w:r>
          </w:p>
        </w:tc>
        <w:tc>
          <w:tcPr>
            <w:tcW w:w="4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Revocar el certificado ante el SAT, tramitar renovación, verificar plataformas vinculadas incluido REPUVE y documentar el periodo sin acceso.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Fiscal / Jurídico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24 horas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Bloqueo o cambio de responsable REPUVE</w:t>
            </w:r>
          </w:p>
        </w:tc>
        <w:tc>
          <w:tcPr>
            <w:tcW w:w="4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Activar suplente, solicitar reasignación de usuario, revisar avisos pendientes de presentar y conciliar inventario de piso.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Control Vehicular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24 horas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Ransomware o intrusión</w:t>
            </w:r>
          </w:p>
        </w:tc>
        <w:tc>
          <w:tcPr>
            <w:tcW w:w="4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Aislar equipos, no pagar rescate sin asesoría, activar respaldos verificados, notificar a las áreas afectadas y evaluar aviso a autoridad.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TI / Dirección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Inmediato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Incendio, sismo o indisponibilidad del inmueble</w:t>
            </w:r>
          </w:p>
        </w:tc>
        <w:tc>
          <w:tcPr>
            <w:tcW w:w="4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Verificar integridad de personas, activar sede alterna, recuperar copia física del Libro Rojo y notificar a aseguradora.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Dirección / Operaciones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Inmediato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Visita o requerimiento de autoridad</w:t>
            </w:r>
          </w:p>
        </w:tc>
        <w:tc>
          <w:tcPr>
            <w:tcW w:w="4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Identificar y registrar a los visitadores, no entregar información sin validación jurídica, notificar a Dirección y documentar la diligencia.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Jurídico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Inmediato</w:t>
            </w:r>
          </w:p>
        </w:tc>
      </w:tr>
    </w:tbl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12" w:name="ctrl"/>
      <w:r>
        <w:rPr>
          <w:b/>
          <w:bCs/>
          <w:color w:val="B01B2E"/>
          <w:sz w:val="30"/>
          <w:szCs w:val="30"/>
        </w:rPr>
        <w:t>7. Control periódico y mejora</w:t>
      </w:r>
      <w:bookmarkEnd w:id="12"/>
    </w:p>
    <w:p w:rsidR="00FE6F22" w:rsidRDefault="00000000">
      <w:pPr>
        <w:pStyle w:val="Heading2"/>
        <w:spacing w:before="160" w:after="70"/>
      </w:pPr>
      <w:bookmarkStart w:id="13" w:name="ctrl1"/>
      <w:r>
        <w:rPr>
          <w:b/>
          <w:bCs/>
          <w:color w:val="1A1A1A"/>
          <w:sz w:val="24"/>
          <w:szCs w:val="24"/>
        </w:rPr>
        <w:t>7.1 Checklist trimestral</w:t>
      </w:r>
      <w:bookmarkEnd w:id="13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800"/>
        <w:gridCol w:w="800"/>
        <w:gridCol w:w="800"/>
        <w:gridCol w:w="3640"/>
      </w:tblGrid>
      <w:tr w:rsidR="00FE6F22">
        <w:trPr>
          <w:tblHeader/>
        </w:trPr>
        <w:tc>
          <w:tcPr>
            <w:tcW w:w="44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lastRenderedPageBreak/>
              <w:t>Control</w:t>
            </w:r>
          </w:p>
        </w:tc>
        <w:tc>
          <w:tcPr>
            <w:tcW w:w="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Si</w:t>
            </w:r>
          </w:p>
        </w:tc>
        <w:tc>
          <w:tcPr>
            <w:tcW w:w="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No</w:t>
            </w:r>
          </w:p>
        </w:tc>
        <w:tc>
          <w:tcPr>
            <w:tcW w:w="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N/A</w:t>
            </w:r>
          </w:p>
        </w:tc>
        <w:tc>
          <w:tcPr>
            <w:tcW w:w="36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Evidencia / Acción</w:t>
            </w:r>
          </w:p>
        </w:tc>
      </w:tr>
      <w:tr w:rsidR="00FE6F22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Poderes y apoderados vigentes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Firmantes bancarios conciliados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e.firma y certificados con vigencia suficiente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Buzón Tributario revisado y suplente activo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Portal PLD, avisos y acuses actualizados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REPUVE: usuario y contraseña de acceso validados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Tokens y MFA inventariados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Respaldos y restauración probados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Contratos y pólizas próximos a vencer identificados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Bajas de personal cerradas en todos los sistemas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Directorio de emergencia verificado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4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Bitácora y versión del documento actualizadas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6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12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14" w:name="ctrl2"/>
      <w:r>
        <w:rPr>
          <w:b/>
          <w:bCs/>
          <w:color w:val="1A1A1A"/>
          <w:sz w:val="24"/>
          <w:szCs w:val="24"/>
        </w:rPr>
        <w:t>7.2 Simulacro anual</w:t>
      </w:r>
      <w:bookmarkEnd w:id="14"/>
    </w:p>
    <w:p w:rsidR="00FE6F22" w:rsidRDefault="00000000">
      <w:pPr>
        <w:spacing w:before="40" w:after="40"/>
      </w:pPr>
      <w:r>
        <w:rPr>
          <w:b/>
          <w:bCs/>
          <w:color w:val="B01B2E"/>
        </w:rPr>
        <w:t xml:space="preserve">Criterio de éxito. </w:t>
      </w:r>
      <w:r>
        <w:rPr>
          <w:i/>
          <w:iCs/>
        </w:rPr>
        <w:t>El simulacro no busca demostrar que todo está bien; busca descubrir fallas antes de una contingencia real. Toda brecha debe convertirse en una acción con responsable y fecha.</w:t>
      </w:r>
    </w:p>
    <w:p w:rsidR="00FE6F22" w:rsidRDefault="00000000">
      <w:pPr>
        <w:spacing w:after="5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840"/>
      </w:tblGrid>
      <w:tr w:rsidR="00FE6F22">
        <w:trPr>
          <w:tblHeader/>
        </w:trPr>
        <w:tc>
          <w:tcPr>
            <w:tcW w:w="3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Campo</w:t>
            </w:r>
          </w:p>
        </w:tc>
        <w:tc>
          <w:tcPr>
            <w:tcW w:w="68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Registro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Escenario seleccionado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Fecha y hora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Participantes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Objetivo de recuperación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Tiempo real obtenido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Brechas detectadas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Acciones correctivas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Responsable y fecha compromiso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12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15" w:name="ctrl3"/>
      <w:r>
        <w:rPr>
          <w:b/>
          <w:bCs/>
          <w:color w:val="1A1A1A"/>
          <w:sz w:val="24"/>
          <w:szCs w:val="24"/>
        </w:rPr>
        <w:t>7.3 Diagnóstico de madurez</w:t>
      </w:r>
      <w:bookmarkEnd w:id="15"/>
    </w:p>
    <w:p w:rsidR="00FE6F22" w:rsidRDefault="00000000">
      <w:pPr>
        <w:spacing w:before="40" w:after="40"/>
      </w:pPr>
      <w:r>
        <w:t>Autoevaluación por dimensión. Permite priorizar recursos y medir avance entre revisiones.</w:t>
      </w:r>
    </w:p>
    <w:p w:rsidR="00FE6F22" w:rsidRDefault="00000000">
      <w:pPr>
        <w:spacing w:after="5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1800"/>
        <w:gridCol w:w="1800"/>
        <w:gridCol w:w="1900"/>
        <w:gridCol w:w="1900"/>
        <w:gridCol w:w="1140"/>
      </w:tblGrid>
      <w:tr w:rsidR="00FE6F22">
        <w:trPr>
          <w:tblHeader/>
        </w:trPr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Dimensión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1 · Inicial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2 · Básico</w:t>
            </w:r>
          </w:p>
        </w:tc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3 · Controlado</w:t>
            </w:r>
          </w:p>
        </w:tc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4 · Probado</w:t>
            </w:r>
          </w:p>
        </w:tc>
        <w:tc>
          <w:tcPr>
            <w:tcW w:w="11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Puntaje</w:t>
            </w:r>
          </w:p>
        </w:tc>
      </w:tr>
      <w:tr w:rsidR="00FE6F22"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Gobernanza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Sin responsable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Responsable informal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Roles aprobados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Auditoría y mejora</w:t>
            </w:r>
          </w:p>
        </w:tc>
        <w:tc>
          <w:tcPr>
            <w:tcW w:w="1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Documentación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Dispersa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Inventario parcial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Repositorio controlado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Trazabilidad total</w:t>
            </w:r>
          </w:p>
        </w:tc>
        <w:tc>
          <w:tcPr>
            <w:tcW w:w="1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Suplencias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Dependencia personal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Suplentes nominales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Suplentes capacitados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Pruebas exitosas</w:t>
            </w:r>
          </w:p>
        </w:tc>
        <w:tc>
          <w:tcPr>
            <w:tcW w:w="1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Credenciales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Prácticas inseguras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Controles aislados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Bóveda y MFA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Monitoreo y revisión</w:t>
            </w:r>
          </w:p>
        </w:tc>
        <w:tc>
          <w:tcPr>
            <w:tcW w:w="1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Continuidad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Sin protocolos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Listas genéricas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Playbooks aprobados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Simulacros y métricas</w:t>
            </w:r>
          </w:p>
        </w:tc>
        <w:tc>
          <w:tcPr>
            <w:tcW w:w="1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Actualización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Reactiva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Anual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Trimestral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Automatizada por evento</w:t>
            </w:r>
          </w:p>
        </w:tc>
        <w:tc>
          <w:tcPr>
            <w:tcW w:w="1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spacing w:after="12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16" w:name="ctrl4"/>
      <w:r>
        <w:rPr>
          <w:b/>
          <w:bCs/>
          <w:color w:val="1A1A1A"/>
          <w:sz w:val="24"/>
          <w:szCs w:val="24"/>
        </w:rPr>
        <w:lastRenderedPageBreak/>
        <w:t>7.4 Plan de acción a 90 días</w:t>
      </w:r>
      <w:bookmarkEnd w:id="16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200"/>
        <w:gridCol w:w="1800"/>
        <w:gridCol w:w="1600"/>
        <w:gridCol w:w="1040"/>
      </w:tblGrid>
      <w:tr w:rsidR="00FE6F22">
        <w:trPr>
          <w:tblHeader/>
        </w:trPr>
        <w:tc>
          <w:tcPr>
            <w:tcW w:w="2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Brecha detectada</w:t>
            </w:r>
          </w:p>
        </w:tc>
        <w:tc>
          <w:tcPr>
            <w:tcW w:w="32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Acción correctiva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Responsable</w:t>
            </w:r>
          </w:p>
        </w:tc>
        <w:tc>
          <w:tcPr>
            <w:tcW w:w="1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Fecha compromiso</w:t>
            </w:r>
          </w:p>
        </w:tc>
        <w:tc>
          <w:tcPr>
            <w:tcW w:w="10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Estado</w:t>
            </w:r>
          </w:p>
        </w:tc>
      </w:tr>
      <w:tr w:rsidR="00FE6F22"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3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r>
        <w:br w:type="page"/>
      </w:r>
    </w:p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17" w:name="sec3"/>
      <w:r>
        <w:rPr>
          <w:b/>
          <w:bCs/>
          <w:color w:val="B01B2E"/>
          <w:sz w:val="30"/>
          <w:szCs w:val="30"/>
        </w:rPr>
        <w:lastRenderedPageBreak/>
        <w:t>8. Recomendaciones jurídicas</w:t>
      </w:r>
      <w:bookmarkEnd w:id="17"/>
    </w:p>
    <w:p w:rsidR="00FE6F22" w:rsidRDefault="00000000">
      <w:pPr>
        <w:pStyle w:val="Heading2"/>
        <w:spacing w:before="160" w:after="70"/>
      </w:pPr>
      <w:bookmarkStart w:id="18" w:name="sec31"/>
      <w:r>
        <w:rPr>
          <w:b/>
          <w:bCs/>
          <w:color w:val="1A1A1A"/>
          <w:sz w:val="24"/>
          <w:szCs w:val="24"/>
        </w:rPr>
        <w:t>8.1 Sobre custodia y seguridad</w:t>
      </w:r>
      <w:bookmarkEnd w:id="18"/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Doble sobre y doble custodia. </w:t>
      </w:r>
      <w:r>
        <w:t>El Libro Rojo debe existir en dos versiones: la Versión Índice (abierta), que contiene la relación descriptiva, ubicación física, responsables y vigencias, sin contraseñas; y la Versión Confidencial (sellada), que contiene claves, contraseñas y NIP, resguardada en caja de seguridad bancaria o caja fuerte con acceso mancomunado de dos funcionarios.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Nunca concentrar </w:t>
      </w:r>
      <w:r>
        <w:t>contraseñas y tokens físicos en el mismo lugar que el índice.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Designar un Custodio Titular </w:t>
      </w:r>
      <w:r>
        <w:t>(usualmente Director Jurídico o Director de Administración y Finanzas) y un Custodio Suplente, mediante acta de designación firmada por el Consejo de Administración, el Administrador Único o el Director General.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Registrar bitácora de accesos: </w:t>
      </w:r>
      <w:r>
        <w:t>toda consulta al sobre confidencial debe asentarse con fecha, hora, motivo y firma de quien accede.</w:t>
      </w:r>
    </w:p>
    <w:p w:rsidR="00FE6F22" w:rsidRDefault="00000000">
      <w:pPr>
        <w:pStyle w:val="Heading2"/>
        <w:spacing w:before="160" w:after="70"/>
      </w:pPr>
      <w:bookmarkStart w:id="19" w:name="sec32"/>
      <w:r>
        <w:rPr>
          <w:b/>
          <w:bCs/>
          <w:color w:val="1A1A1A"/>
          <w:sz w:val="24"/>
          <w:szCs w:val="24"/>
        </w:rPr>
        <w:t>8.2 Sobre poderes</w:t>
      </w:r>
      <w:bookmarkEnd w:id="19"/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Revisión semestral </w:t>
      </w:r>
      <w:r>
        <w:t>de poderes vigentes. Todo apoderado que se separe de la empresa debe ser revocado notarialmente, inscrita la revocación en el RPPC dentro de los 5 días hábiles siguientes a su separación, y notificado a bancos e instituciones.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Evitar poderes generales para actos de dominio </w:t>
      </w:r>
      <w:r>
        <w:t>salvo necesidad acreditada; privilegiar poderes especiales con límite de monto y materia.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Conservar copia certificada </w:t>
      </w:r>
      <w:r>
        <w:t>de cada instrumento otorgado.</w:t>
      </w:r>
    </w:p>
    <w:p w:rsidR="00FE6F22" w:rsidRDefault="00000000">
      <w:pPr>
        <w:pStyle w:val="Heading2"/>
        <w:spacing w:before="160" w:after="70"/>
      </w:pPr>
      <w:bookmarkStart w:id="20" w:name="sec33"/>
      <w:r>
        <w:rPr>
          <w:b/>
          <w:bCs/>
          <w:color w:val="1A1A1A"/>
          <w:sz w:val="24"/>
          <w:szCs w:val="24"/>
        </w:rPr>
        <w:t>8.3 Sobre e.firma y materia fiscal</w:t>
      </w:r>
      <w:bookmarkEnd w:id="20"/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La e.firma es personalísima e intransferible. </w:t>
      </w:r>
      <w:r>
        <w:t>Su resguardo por terceros genera responsabilidad solidaria y riesgo penal. El Libro Rojo debe consignar ubicación del archivo .key y .cer, vigencia y responsable; nunca la contraseña en texto plano fuera del sobre sellado.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Designar formalmente al responsable de revisión del Buzón Tributario, </w:t>
      </w:r>
      <w:r>
        <w:t>con obligación de revisión mínima cada 72 horas y protocolo de escalamiento inmediato al área jurídica ante cualquier notificación.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Mantener alertas de vencimiento </w:t>
      </w:r>
      <w:r>
        <w:t>de e.firma con 90 días de anticipación, verificando que su renovación no interrumpa el acceso a plataformas vinculadas, incluido el portal REPUVE.</w:t>
      </w:r>
    </w:p>
    <w:p w:rsidR="00FE6F22" w:rsidRDefault="00000000">
      <w:pPr>
        <w:pStyle w:val="Heading2"/>
        <w:spacing w:before="160" w:after="70"/>
      </w:pPr>
      <w:bookmarkStart w:id="21" w:name="sec34"/>
      <w:r>
        <w:rPr>
          <w:b/>
          <w:bCs/>
          <w:color w:val="1A1A1A"/>
          <w:sz w:val="24"/>
          <w:szCs w:val="24"/>
        </w:rPr>
        <w:t>8.4 Sobre el Registro Público Vehicular (REPUVE)</w:t>
      </w:r>
      <w:bookmarkEnd w:id="21"/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Registro de las claves de acceso. </w:t>
      </w:r>
      <w:r>
        <w:t>El Libro Rojo debe identificar quién tiene el usuario y la contraseña de acceso al portal REPUVE, sin consignar la contraseña en texto plano.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Resguardo controlado. </w:t>
      </w:r>
      <w:r>
        <w:t>La contraseña se conserva en el sobre confidencial sellado, con acceso mancomunado, y el Libro Rojo únicamente indica el número de sobre y su ubicación.</w:t>
      </w:r>
    </w:p>
    <w:p w:rsidR="00FE6F22" w:rsidRDefault="00000000">
      <w:pPr>
        <w:pStyle w:val="Heading2"/>
        <w:spacing w:before="160" w:after="70"/>
      </w:pPr>
      <w:bookmarkStart w:id="22" w:name="sec35"/>
      <w:r>
        <w:rPr>
          <w:b/>
          <w:bCs/>
          <w:color w:val="1A1A1A"/>
          <w:sz w:val="24"/>
          <w:szCs w:val="24"/>
        </w:rPr>
        <w:t>8.5 Sobre actualización</w:t>
      </w:r>
      <w:bookmarkEnd w:id="22"/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Actualización obligatoria </w:t>
      </w:r>
      <w:r>
        <w:t>dentro de los 3 días hábiles siguientes a: otorgamiento o revocación de poder, alta o baja de firma bancaria, cambio de contraseña, renovación de e.firma, alta o baja de usuario REPUVE, y alta o baja de personal con acceso crítico.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Certificación trimestral: </w:t>
      </w:r>
      <w:r>
        <w:t>el Custodio firma constancia de que el Libro fue revisado y está actualizado, y la presenta al Consejo o Administrador Único.</w:t>
      </w:r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Cláusula de sucesión: </w:t>
      </w:r>
      <w:r>
        <w:t>instrucciones expresas sobre quien accede al Libro Rojo en caso de fallecimiento o incapacidad del accionista mayoritario o Administrador Único.</w:t>
      </w:r>
    </w:p>
    <w:p w:rsidR="00FE6F22" w:rsidRDefault="00000000">
      <w:pPr>
        <w:pStyle w:val="Heading2"/>
        <w:spacing w:before="160" w:after="70"/>
      </w:pPr>
      <w:bookmarkStart w:id="23" w:name="sec36"/>
      <w:r>
        <w:rPr>
          <w:b/>
          <w:bCs/>
          <w:color w:val="1A1A1A"/>
          <w:sz w:val="24"/>
          <w:szCs w:val="24"/>
        </w:rPr>
        <w:t>8.6 Protección de datos</w:t>
      </w:r>
      <w:bookmarkEnd w:id="23"/>
    </w:p>
    <w:p w:rsidR="00FE6F22" w:rsidRDefault="00000000">
      <w:pPr>
        <w:pStyle w:val="ListParagraph"/>
        <w:numPr>
          <w:ilvl w:val="0"/>
          <w:numId w:val="3"/>
        </w:numPr>
        <w:spacing w:before="35" w:after="35"/>
      </w:pPr>
      <w:r>
        <w:rPr>
          <w:b/>
          <w:bCs/>
        </w:rPr>
        <w:t xml:space="preserve">El Libro contiene datos personales; </w:t>
      </w:r>
      <w:r>
        <w:t>debe existir aviso de privacidad y las personas registradas deben firmar convenio de confidencialidad. El acceso indebido puede configurar delitos previstos en el Código Penal Federal y responsabilidad bajo la legislación de protección de datos personales en posesión de particulares.</w:t>
      </w:r>
    </w:p>
    <w:p w:rsidR="00FE6F22" w:rsidRDefault="00000000">
      <w:r>
        <w:br w:type="page"/>
      </w:r>
    </w:p>
    <w:p w:rsidR="00FE6F22" w:rsidRDefault="00000000">
      <w:pPr>
        <w:pStyle w:val="Heading1"/>
        <w:pBdr>
          <w:bottom w:val="single" w:sz="12" w:space="6" w:color="B01B2E"/>
        </w:pBdr>
        <w:spacing w:before="200" w:after="100"/>
      </w:pPr>
      <w:bookmarkStart w:id="24" w:name="sec4"/>
      <w:r>
        <w:rPr>
          <w:b/>
          <w:bCs/>
          <w:color w:val="B01B2E"/>
          <w:sz w:val="30"/>
          <w:szCs w:val="30"/>
        </w:rPr>
        <w:lastRenderedPageBreak/>
        <w:t>9. Formato práctico</w:t>
      </w:r>
      <w:bookmarkEnd w:id="24"/>
    </w:p>
    <w:p w:rsidR="00FE6F22" w:rsidRDefault="00000000">
      <w:pPr>
        <w:spacing w:before="40" w:after="40"/>
      </w:pPr>
      <w:r>
        <w:rPr>
          <w:b/>
          <w:bCs/>
        </w:rPr>
        <w:t xml:space="preserve">Sistema de semáforo: </w:t>
      </w:r>
      <w:r>
        <w:t>VERDE = vigente y en orden.  AMARILLO = vence en menos de 90 días o requiere atención.  ROJO = vencido, faltante o pendiente de regularizar.</w:t>
      </w:r>
    </w:p>
    <w:p w:rsidR="00FE6F22" w:rsidRDefault="00000000">
      <w:pPr>
        <w:spacing w:after="5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25" w:name="car"/>
      <w:r>
        <w:rPr>
          <w:b/>
          <w:bCs/>
          <w:color w:val="1A1A1A"/>
          <w:sz w:val="24"/>
          <w:szCs w:val="24"/>
        </w:rPr>
        <w:t>Carátula de control</w:t>
      </w:r>
      <w:bookmarkEnd w:id="25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6"/>
        <w:gridCol w:w="6504"/>
      </w:tblGrid>
      <w:tr w:rsidR="00FE6F22">
        <w:trPr>
          <w:tblHeader/>
        </w:trPr>
        <w:tc>
          <w:tcPr>
            <w:tcW w:w="393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Concepto</w:t>
            </w:r>
          </w:p>
        </w:tc>
        <w:tc>
          <w:tcPr>
            <w:tcW w:w="650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</w:tr>
      <w:tr w:rsidR="00FE6F22">
        <w:tc>
          <w:tcPr>
            <w:tcW w:w="3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Razón social</w:t>
            </w:r>
          </w:p>
        </w:tc>
        <w:tc>
          <w:tcPr>
            <w:tcW w:w="65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RFC</w:t>
            </w:r>
          </w:p>
        </w:tc>
        <w:tc>
          <w:tcPr>
            <w:tcW w:w="650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Versión del documento</w:t>
            </w:r>
          </w:p>
        </w:tc>
        <w:tc>
          <w:tcPr>
            <w:tcW w:w="65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Fecha de última actualización</w:t>
            </w:r>
          </w:p>
        </w:tc>
        <w:tc>
          <w:tcPr>
            <w:tcW w:w="650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Custodio Titular</w:t>
            </w:r>
          </w:p>
        </w:tc>
        <w:tc>
          <w:tcPr>
            <w:tcW w:w="65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Custodio Suplente</w:t>
            </w:r>
          </w:p>
        </w:tc>
        <w:tc>
          <w:tcPr>
            <w:tcW w:w="650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Ubicación física del original</w:t>
            </w:r>
          </w:p>
        </w:tc>
        <w:tc>
          <w:tcPr>
            <w:tcW w:w="65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Ubicación del sobre confidencial</w:t>
            </w:r>
          </w:p>
        </w:tc>
        <w:tc>
          <w:tcPr>
            <w:tcW w:w="650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Próxima revisión programada</w:t>
            </w:r>
          </w:p>
        </w:tc>
        <w:tc>
          <w:tcPr>
            <w:tcW w:w="65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26" w:name="ficha"/>
      <w:r>
        <w:rPr>
          <w:b/>
          <w:bCs/>
          <w:color w:val="1A1A1A"/>
          <w:sz w:val="24"/>
          <w:szCs w:val="24"/>
        </w:rPr>
        <w:t>Ficha maestra de la sociedad</w:t>
      </w:r>
      <w:bookmarkEnd w:id="26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840"/>
      </w:tblGrid>
      <w:tr w:rsidR="00FE6F22">
        <w:trPr>
          <w:tblHeader/>
        </w:trPr>
        <w:tc>
          <w:tcPr>
            <w:tcW w:w="3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Campo</w:t>
            </w:r>
          </w:p>
        </w:tc>
        <w:tc>
          <w:tcPr>
            <w:tcW w:w="68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Información / ubicación / responsable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Razón social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Nombre comercial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RFC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Domicilio social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Domicilios operativos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Objeto social relevante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Duración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Capital social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Administrador / Consejo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Secretario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Comisario / órgano de vigilancia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Fedatario habitual</w:t>
            </w:r>
          </w:p>
        </w:tc>
        <w:tc>
          <w:tcPr>
            <w:tcW w:w="68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Carpeta o repositorio maestro</w:t>
            </w:r>
          </w:p>
        </w:tc>
        <w:tc>
          <w:tcPr>
            <w:tcW w:w="6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10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27" w:name="benef"/>
      <w:r>
        <w:rPr>
          <w:b/>
          <w:bCs/>
          <w:color w:val="1A1A1A"/>
          <w:sz w:val="24"/>
          <w:szCs w:val="24"/>
        </w:rPr>
        <w:t>Estructura accionaria y beneficiario controlador</w:t>
      </w:r>
      <w:bookmarkEnd w:id="27"/>
    </w:p>
    <w:p w:rsidR="00FE6F22" w:rsidRDefault="00000000">
      <w:pPr>
        <w:spacing w:before="40" w:after="40"/>
      </w:pPr>
      <w:r>
        <w:rPr>
          <w:b/>
          <w:bCs/>
          <w:color w:val="B01B2E"/>
        </w:rPr>
        <w:t xml:space="preserve">Nota. </w:t>
      </w:r>
      <w:r>
        <w:rPr>
          <w:i/>
          <w:iCs/>
        </w:rPr>
        <w:t>El beneficiario controlador debe identificarse hasta llegar a una o varias personas físicas. La definición puede diferir entre materia fiscal y materia de prevención de lavado de dinero (PLD); cuando así ocurra, indíquese cada uno por separado.</w:t>
      </w:r>
    </w:p>
    <w:p w:rsidR="00FE6F22" w:rsidRDefault="00000000">
      <w:pPr>
        <w:spacing w:after="5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400"/>
        <w:gridCol w:w="2470"/>
        <w:gridCol w:w="2470"/>
        <w:gridCol w:w="1900"/>
      </w:tblGrid>
      <w:tr w:rsidR="00FE6F22">
        <w:trPr>
          <w:tblHeader/>
        </w:trPr>
        <w:tc>
          <w:tcPr>
            <w:tcW w:w="22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Persona / Entidad</w:t>
            </w:r>
          </w:p>
        </w:tc>
        <w:tc>
          <w:tcPr>
            <w:tcW w:w="14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Participación</w:t>
            </w:r>
          </w:p>
        </w:tc>
        <w:tc>
          <w:tcPr>
            <w:tcW w:w="247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Beneficiario controlador (materia fiscal)</w:t>
            </w:r>
          </w:p>
        </w:tc>
        <w:tc>
          <w:tcPr>
            <w:tcW w:w="247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Beneficiario controlador (materia PLD)</w:t>
            </w:r>
          </w:p>
        </w:tc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Evidencia / Fecha</w:t>
            </w:r>
          </w:p>
        </w:tc>
      </w:tr>
      <w:tr w:rsidR="00FE6F22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7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28" w:name="secA"/>
      <w:r>
        <w:rPr>
          <w:b/>
          <w:bCs/>
          <w:color w:val="1A1A1A"/>
          <w:sz w:val="24"/>
          <w:szCs w:val="24"/>
        </w:rPr>
        <w:t>Sección A - Datos corporativos</w:t>
      </w:r>
      <w:bookmarkEnd w:id="28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1"/>
        <w:gridCol w:w="3004"/>
        <w:gridCol w:w="2672"/>
        <w:gridCol w:w="1243"/>
      </w:tblGrid>
      <w:tr w:rsidR="00FE6F22">
        <w:trPr>
          <w:tblHeader/>
        </w:trPr>
        <w:tc>
          <w:tcPr>
            <w:tcW w:w="3521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Dato</w:t>
            </w:r>
          </w:p>
        </w:tc>
        <w:tc>
          <w:tcPr>
            <w:tcW w:w="300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267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Ubicación física</w:t>
            </w:r>
          </w:p>
        </w:tc>
        <w:tc>
          <w:tcPr>
            <w:tcW w:w="124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Sem.</w:t>
            </w:r>
          </w:p>
        </w:tc>
      </w:tr>
      <w:tr w:rsidR="00FE6F22">
        <w:tc>
          <w:tcPr>
            <w:tcW w:w="35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Acta constitutiva (escritura / notario / fecha)</w:t>
            </w:r>
          </w:p>
        </w:tc>
        <w:tc>
          <w:tcPr>
            <w:tcW w:w="30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52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Folio mercantil electrónico / RPPC</w:t>
            </w:r>
          </w:p>
        </w:tc>
        <w:tc>
          <w:tcPr>
            <w:tcW w:w="300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7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5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Última asamblea protocolizada</w:t>
            </w:r>
          </w:p>
        </w:tc>
        <w:tc>
          <w:tcPr>
            <w:tcW w:w="30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52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Libros corporativos (acciones, actas, variaciones)</w:t>
            </w:r>
          </w:p>
        </w:tc>
        <w:tc>
          <w:tcPr>
            <w:tcW w:w="300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7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E6F22">
        <w:tc>
          <w:tcPr>
            <w:tcW w:w="352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>Estructura accionaria vigente</w:t>
            </w:r>
          </w:p>
        </w:tc>
        <w:tc>
          <w:tcPr>
            <w:tcW w:w="30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E6F22" w:rsidRDefault="00FE6F22">
      <w:pPr>
        <w:sectPr w:rsidR="00FE6F22">
          <w:headerReference w:type="default" r:id="rId7"/>
          <w:footerReference w:type="default" r:id="rId8"/>
          <w:pgSz w:w="12240" w:h="15840"/>
          <w:pgMar w:top="900" w:right="900" w:bottom="900" w:left="900" w:header="708" w:footer="708" w:gutter="0"/>
          <w:cols w:space="720"/>
          <w:docGrid w:linePitch="360"/>
        </w:sectPr>
      </w:pPr>
    </w:p>
    <w:p w:rsidR="00FE6F22" w:rsidRDefault="00000000">
      <w:pPr>
        <w:pStyle w:val="Heading2"/>
        <w:spacing w:after="120"/>
      </w:pPr>
      <w:bookmarkStart w:id="29" w:name="secB"/>
      <w:r>
        <w:rPr>
          <w:b/>
          <w:bCs/>
          <w:color w:val="B01B2E"/>
        </w:rPr>
        <w:lastRenderedPageBreak/>
        <w:t>Sección B - Relación de poderes</w:t>
      </w:r>
      <w:bookmarkEnd w:id="29"/>
    </w:p>
    <w:tbl>
      <w:tblPr>
        <w:tblW w:w="140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1539"/>
        <w:gridCol w:w="1232"/>
        <w:gridCol w:w="1745"/>
        <w:gridCol w:w="1642"/>
        <w:gridCol w:w="1642"/>
        <w:gridCol w:w="1334"/>
        <w:gridCol w:w="924"/>
        <w:gridCol w:w="924"/>
        <w:gridCol w:w="1026"/>
        <w:gridCol w:w="1026"/>
        <w:gridCol w:w="493"/>
      </w:tblGrid>
      <w:tr w:rsidR="00FE6F22">
        <w:trPr>
          <w:tblHeader/>
        </w:trPr>
        <w:tc>
          <w:tcPr>
            <w:tcW w:w="51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#</w:t>
            </w:r>
          </w:p>
        </w:tc>
        <w:tc>
          <w:tcPr>
            <w:tcW w:w="15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Apoderado</w:t>
            </w:r>
          </w:p>
        </w:tc>
        <w:tc>
          <w:tcPr>
            <w:tcW w:w="123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Puesto</w:t>
            </w:r>
          </w:p>
        </w:tc>
        <w:tc>
          <w:tcPr>
            <w:tcW w:w="174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Escritura / Notario / Fecha</w:t>
            </w:r>
          </w:p>
        </w:tc>
        <w:tc>
          <w:tcPr>
            <w:tcW w:w="164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Tipo de poder</w:t>
            </w:r>
          </w:p>
        </w:tc>
        <w:tc>
          <w:tcPr>
            <w:tcW w:w="164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Límites y monto máximo</w:t>
            </w:r>
          </w:p>
        </w:tc>
        <w:tc>
          <w:tcPr>
            <w:tcW w:w="133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Mancomunado con</w:t>
            </w:r>
          </w:p>
        </w:tc>
        <w:tc>
          <w:tcPr>
            <w:tcW w:w="92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Inicio</w:t>
            </w:r>
          </w:p>
        </w:tc>
        <w:tc>
          <w:tcPr>
            <w:tcW w:w="92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Vigencia</w:t>
            </w:r>
          </w:p>
        </w:tc>
        <w:tc>
          <w:tcPr>
            <w:tcW w:w="102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Inscrito RPPC</w:t>
            </w:r>
          </w:p>
        </w:tc>
        <w:tc>
          <w:tcPr>
            <w:tcW w:w="102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Estatus</w:t>
            </w:r>
          </w:p>
        </w:tc>
        <w:tc>
          <w:tcPr>
            <w:tcW w:w="49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5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51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2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3"/>
        <w:spacing w:before="160" w:after="100"/>
      </w:pPr>
      <w:bookmarkStart w:id="30" w:name="secB1"/>
      <w:r>
        <w:rPr>
          <w:b/>
          <w:bCs/>
          <w:color w:val="B01B2E"/>
          <w:sz w:val="22"/>
          <w:szCs w:val="22"/>
        </w:rPr>
        <w:t>Anexo B-1 - Poderes revocados</w:t>
      </w:r>
      <w:bookmarkEnd w:id="30"/>
    </w:p>
    <w:tbl>
      <w:tblPr>
        <w:tblW w:w="140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2155"/>
        <w:gridCol w:w="1129"/>
        <w:gridCol w:w="1539"/>
        <w:gridCol w:w="1950"/>
        <w:gridCol w:w="1745"/>
        <w:gridCol w:w="1827"/>
        <w:gridCol w:w="1745"/>
      </w:tblGrid>
      <w:tr w:rsidR="00FE6F22">
        <w:trPr>
          <w:tblHeader/>
        </w:trPr>
        <w:tc>
          <w:tcPr>
            <w:tcW w:w="19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Apoderado</w:t>
            </w:r>
          </w:p>
        </w:tc>
        <w:tc>
          <w:tcPr>
            <w:tcW w:w="215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Escritura de revocación</w:t>
            </w:r>
          </w:p>
        </w:tc>
        <w:tc>
          <w:tcPr>
            <w:tcW w:w="112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Fecha</w:t>
            </w:r>
          </w:p>
        </w:tc>
        <w:tc>
          <w:tcPr>
            <w:tcW w:w="15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Inscrita RPPC</w:t>
            </w:r>
          </w:p>
        </w:tc>
        <w:tc>
          <w:tcPr>
            <w:tcW w:w="19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Notificación a bancos</w:t>
            </w:r>
          </w:p>
        </w:tc>
        <w:tc>
          <w:tcPr>
            <w:tcW w:w="174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Notificación a SAT</w:t>
            </w:r>
          </w:p>
        </w:tc>
        <w:tc>
          <w:tcPr>
            <w:tcW w:w="182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Notificación REPUVE</w:t>
            </w:r>
          </w:p>
        </w:tc>
        <w:tc>
          <w:tcPr>
            <w:tcW w:w="174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Confirmado por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r>
        <w:br w:type="page"/>
      </w:r>
    </w:p>
    <w:p w:rsidR="00FE6F22" w:rsidRDefault="00000000">
      <w:pPr>
        <w:pStyle w:val="Heading2"/>
        <w:spacing w:after="120"/>
      </w:pPr>
      <w:bookmarkStart w:id="31" w:name="secD"/>
      <w:r>
        <w:rPr>
          <w:b/>
          <w:bCs/>
          <w:color w:val="B01B2E"/>
        </w:rPr>
        <w:lastRenderedPageBreak/>
        <w:t>Sección D - Bancario</w:t>
      </w:r>
      <w:bookmarkEnd w:id="31"/>
    </w:p>
    <w:tbl>
      <w:tblPr>
        <w:tblW w:w="140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9"/>
        <w:gridCol w:w="1745"/>
        <w:gridCol w:w="1026"/>
        <w:gridCol w:w="1745"/>
        <w:gridCol w:w="1334"/>
        <w:gridCol w:w="1437"/>
        <w:gridCol w:w="1745"/>
        <w:gridCol w:w="1334"/>
        <w:gridCol w:w="1642"/>
        <w:gridCol w:w="493"/>
      </w:tblGrid>
      <w:tr w:rsidR="00FE6F22">
        <w:trPr>
          <w:tblHeader/>
        </w:trPr>
        <w:tc>
          <w:tcPr>
            <w:tcW w:w="15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Institución</w:t>
            </w:r>
          </w:p>
        </w:tc>
        <w:tc>
          <w:tcPr>
            <w:tcW w:w="174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Cuenta / CLABE</w:t>
            </w:r>
          </w:p>
        </w:tc>
        <w:tc>
          <w:tcPr>
            <w:tcW w:w="102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Tipo</w:t>
            </w:r>
          </w:p>
        </w:tc>
        <w:tc>
          <w:tcPr>
            <w:tcW w:w="174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Firmas autorizadas</w:t>
            </w:r>
          </w:p>
        </w:tc>
        <w:tc>
          <w:tcPr>
            <w:tcW w:w="133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Régimen</w:t>
            </w:r>
          </w:p>
        </w:tc>
        <w:tc>
          <w:tcPr>
            <w:tcW w:w="143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Límite por operación</w:t>
            </w:r>
          </w:p>
        </w:tc>
        <w:tc>
          <w:tcPr>
            <w:tcW w:w="174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Token No. / ubicación</w:t>
            </w:r>
          </w:p>
        </w:tc>
        <w:tc>
          <w:tcPr>
            <w:tcW w:w="133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Usuario banca</w:t>
            </w:r>
          </w:p>
        </w:tc>
        <w:tc>
          <w:tcPr>
            <w:tcW w:w="164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Clave (sobre)</w:t>
            </w:r>
          </w:p>
        </w:tc>
        <w:tc>
          <w:tcPr>
            <w:tcW w:w="49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5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2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3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4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3"/>
        <w:spacing w:before="160" w:after="100"/>
      </w:pPr>
      <w:bookmarkStart w:id="32" w:name="secD1"/>
      <w:r>
        <w:rPr>
          <w:b/>
          <w:bCs/>
          <w:color w:val="B01B2E"/>
          <w:sz w:val="22"/>
          <w:szCs w:val="22"/>
        </w:rPr>
        <w:t>Anexo D-1 - Instrumentos de crédito y plan piso</w:t>
      </w:r>
      <w:bookmarkEnd w:id="32"/>
    </w:p>
    <w:tbl>
      <w:tblPr>
        <w:tblW w:w="140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1950"/>
        <w:gridCol w:w="1745"/>
        <w:gridCol w:w="2258"/>
        <w:gridCol w:w="1437"/>
        <w:gridCol w:w="4207"/>
        <w:gridCol w:w="493"/>
      </w:tblGrid>
      <w:tr w:rsidR="00FE6F22">
        <w:trPr>
          <w:tblHeader/>
        </w:trPr>
        <w:tc>
          <w:tcPr>
            <w:tcW w:w="19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Institución</w:t>
            </w:r>
          </w:p>
        </w:tc>
        <w:tc>
          <w:tcPr>
            <w:tcW w:w="19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Tipo de línea</w:t>
            </w:r>
          </w:p>
        </w:tc>
        <w:tc>
          <w:tcPr>
            <w:tcW w:w="174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Monto autorizado</w:t>
            </w:r>
          </w:p>
        </w:tc>
        <w:tc>
          <w:tcPr>
            <w:tcW w:w="225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Garantías otorgadas</w:t>
            </w:r>
          </w:p>
        </w:tc>
        <w:tc>
          <w:tcPr>
            <w:tcW w:w="143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Vencimiento</w:t>
            </w:r>
          </w:p>
        </w:tc>
        <w:tc>
          <w:tcPr>
            <w:tcW w:w="420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Obligaciones de hacer / no hacer</w:t>
            </w:r>
          </w:p>
        </w:tc>
        <w:tc>
          <w:tcPr>
            <w:tcW w:w="49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4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5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3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20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FE6F22">
      <w:pPr>
        <w:sectPr w:rsidR="00FE6F22">
          <w:headerReference w:type="default" r:id="rId9"/>
          <w:footerReference w:type="default" r:id="rId10"/>
          <w:pgSz w:w="15840" w:h="12240" w:orient="landscape"/>
          <w:pgMar w:top="900" w:right="900" w:bottom="900" w:left="900" w:header="708" w:footer="708" w:gutter="0"/>
          <w:cols w:space="720"/>
          <w:docGrid w:linePitch="360"/>
        </w:sectPr>
      </w:pPr>
    </w:p>
    <w:p w:rsidR="00FE6F22" w:rsidRDefault="00000000">
      <w:pPr>
        <w:pStyle w:val="Heading2"/>
        <w:spacing w:before="160" w:after="70"/>
      </w:pPr>
      <w:bookmarkStart w:id="33" w:name="secC"/>
      <w:r>
        <w:rPr>
          <w:b/>
          <w:bCs/>
          <w:color w:val="1A1A1A"/>
          <w:sz w:val="24"/>
          <w:szCs w:val="24"/>
        </w:rPr>
        <w:lastRenderedPageBreak/>
        <w:t>Sección C - Fiscal</w:t>
      </w:r>
      <w:bookmarkEnd w:id="33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6"/>
        <w:gridCol w:w="1346"/>
        <w:gridCol w:w="1968"/>
        <w:gridCol w:w="932"/>
        <w:gridCol w:w="1139"/>
        <w:gridCol w:w="1346"/>
        <w:gridCol w:w="1036"/>
        <w:gridCol w:w="497"/>
      </w:tblGrid>
      <w:tr w:rsidR="00FE6F22">
        <w:trPr>
          <w:tblHeader/>
        </w:trPr>
        <w:tc>
          <w:tcPr>
            <w:tcW w:w="217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Elemento</w:t>
            </w:r>
          </w:p>
        </w:tc>
        <w:tc>
          <w:tcPr>
            <w:tcW w:w="134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Titular</w:t>
            </w:r>
          </w:p>
        </w:tc>
        <w:tc>
          <w:tcPr>
            <w:tcW w:w="196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Ubicación archivo / dispositivo</w:t>
            </w:r>
          </w:p>
        </w:tc>
        <w:tc>
          <w:tcPr>
            <w:tcW w:w="93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Emisión</w:t>
            </w:r>
          </w:p>
        </w:tc>
        <w:tc>
          <w:tcPr>
            <w:tcW w:w="11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Vencimiento</w:t>
            </w:r>
          </w:p>
        </w:tc>
        <w:tc>
          <w:tcPr>
            <w:tcW w:w="134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Responsable</w:t>
            </w:r>
          </w:p>
        </w:tc>
        <w:tc>
          <w:tcPr>
            <w:tcW w:w="103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Clave (sobre)</w:t>
            </w:r>
          </w:p>
        </w:tc>
        <w:tc>
          <w:tcPr>
            <w:tcW w:w="49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21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e.firma persona moral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17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Contraseña SAT (CIEC)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1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e.firma representante legal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17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Certificados de sello digital (CSD)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1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Buzón Tributario - responsable de revisión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Frecuencia: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Suplente: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17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Opinión de cumplimiento 32-D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pStyle w:val="Heading2"/>
        <w:spacing w:before="160" w:after="70"/>
      </w:pPr>
      <w:bookmarkStart w:id="34" w:name="secPLD"/>
      <w:r>
        <w:rPr>
          <w:b/>
          <w:bCs/>
          <w:color w:val="1A1A1A"/>
          <w:sz w:val="24"/>
          <w:szCs w:val="24"/>
        </w:rPr>
        <w:t>Sección C-2 - Prevención de lavado de dinero (PLD / UIF)</w:t>
      </w:r>
      <w:bookmarkEnd w:id="34"/>
    </w:p>
    <w:p w:rsidR="00FE6F22" w:rsidRDefault="00000000">
      <w:pPr>
        <w:spacing w:before="40" w:after="40"/>
      </w:pPr>
      <w:r>
        <w:rPr>
          <w:b/>
          <w:bCs/>
          <w:color w:val="B01B2E"/>
        </w:rPr>
        <w:t xml:space="preserve">Nota: </w:t>
      </w:r>
      <w:r>
        <w:rPr>
          <w:i/>
          <w:iCs/>
        </w:rPr>
        <w:t>la actividad de compraventa de vehículos es actividad vulnerable. La omisión de avisos genera responsabilidad administrativa.</w:t>
      </w:r>
    </w:p>
    <w:p w:rsidR="00FE6F22" w:rsidRDefault="00000000">
      <w:pPr>
        <w:spacing w:after="6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800"/>
        <w:gridCol w:w="1700"/>
        <w:gridCol w:w="2200"/>
        <w:gridCol w:w="1620"/>
        <w:gridCol w:w="520"/>
      </w:tblGrid>
      <w:tr w:rsidR="00FE6F22">
        <w:trPr>
          <w:tblHeader/>
        </w:trPr>
        <w:tc>
          <w:tcPr>
            <w:tcW w:w="2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Control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Responsable</w:t>
            </w:r>
          </w:p>
        </w:tc>
        <w:tc>
          <w:tcPr>
            <w:tcW w:w="17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Suplente</w:t>
            </w:r>
          </w:p>
        </w:tc>
        <w:tc>
          <w:tcPr>
            <w:tcW w:w="22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Evidencia / Ubicación</w:t>
            </w:r>
          </w:p>
        </w:tc>
        <w:tc>
          <w:tcPr>
            <w:tcW w:w="162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Última validación</w:t>
            </w:r>
          </w:p>
        </w:tc>
        <w:tc>
          <w:tcPr>
            <w:tcW w:w="52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Sem.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Encargado de cumplimiento (nombre y cargo)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Alta y datos del portal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Presentación de avisos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Acuses y respaldos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Manual y políticas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Consulta de listas negras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Expedientes de identificación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Beneficiario controlador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Capacitación y constancias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35" w:name="secE"/>
      <w:r>
        <w:rPr>
          <w:b/>
          <w:bCs/>
          <w:color w:val="1A1A1A"/>
          <w:sz w:val="24"/>
          <w:szCs w:val="24"/>
        </w:rPr>
        <w:t>Sección E - Accesos digitales</w:t>
      </w:r>
      <w:bookmarkEnd w:id="35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1554"/>
        <w:gridCol w:w="1554"/>
        <w:gridCol w:w="1761"/>
        <w:gridCol w:w="1346"/>
        <w:gridCol w:w="1450"/>
        <w:gridCol w:w="497"/>
      </w:tblGrid>
      <w:tr w:rsidR="00FE6F22">
        <w:trPr>
          <w:tblHeader/>
        </w:trPr>
        <w:tc>
          <w:tcPr>
            <w:tcW w:w="227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Sistema / Plataforma</w:t>
            </w:r>
          </w:p>
        </w:tc>
        <w:tc>
          <w:tcPr>
            <w:tcW w:w="155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Proveedor</w:t>
            </w:r>
          </w:p>
        </w:tc>
        <w:tc>
          <w:tcPr>
            <w:tcW w:w="155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Usuario admin.</w:t>
            </w:r>
          </w:p>
        </w:tc>
        <w:tc>
          <w:tcPr>
            <w:tcW w:w="1761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Responsable interno</w:t>
            </w:r>
          </w:p>
        </w:tc>
        <w:tc>
          <w:tcPr>
            <w:tcW w:w="134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Renovación</w:t>
            </w:r>
          </w:p>
        </w:tc>
        <w:tc>
          <w:tcPr>
            <w:tcW w:w="14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Clave (sobre)</w:t>
            </w:r>
          </w:p>
        </w:tc>
        <w:tc>
          <w:tcPr>
            <w:tcW w:w="49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22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Portal de armadora / DMS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7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ERP / contable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Dominio y hosting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7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Correo corporativo (admin)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CRM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7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Facturación electrónica (PAC)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Respaldos / nube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pStyle w:val="Heading2"/>
        <w:spacing w:before="160" w:after="70"/>
      </w:pPr>
      <w:bookmarkStart w:id="36" w:name="secTI"/>
      <w:r>
        <w:rPr>
          <w:b/>
          <w:bCs/>
          <w:color w:val="1A1A1A"/>
          <w:sz w:val="24"/>
          <w:szCs w:val="24"/>
        </w:rPr>
        <w:t>Sección E-2 - Tecnología, respaldos y ciberseguridad</w:t>
      </w:r>
      <w:bookmarkEnd w:id="36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900"/>
        <w:gridCol w:w="1800"/>
        <w:gridCol w:w="1500"/>
        <w:gridCol w:w="1720"/>
        <w:gridCol w:w="520"/>
      </w:tblGrid>
      <w:tr w:rsidR="00FE6F22">
        <w:trPr>
          <w:tblHeader/>
        </w:trPr>
        <w:tc>
          <w:tcPr>
            <w:tcW w:w="30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Control mínimo</w:t>
            </w:r>
          </w:p>
        </w:tc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Responsable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Suplente</w:t>
            </w:r>
          </w:p>
        </w:tc>
        <w:tc>
          <w:tcPr>
            <w:tcW w:w="15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Frecuencia</w:t>
            </w:r>
          </w:p>
        </w:tc>
        <w:tc>
          <w:tcPr>
            <w:tcW w:w="172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Última prueba</w:t>
            </w:r>
          </w:p>
        </w:tc>
        <w:tc>
          <w:tcPr>
            <w:tcW w:w="52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Sem.</w:t>
            </w:r>
          </w:p>
        </w:tc>
      </w:tr>
      <w:tr w:rsidR="00FE6F22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Respaldo de información crítica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Prueba de restauración (no basta respaldar)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Inventario de tokens y dispositivos MFA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lastRenderedPageBreak/>
              <w:t>Matriz de accesos por rol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Baja de accesos por separación de personal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Antivirus / EDR y actualizaciones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Cifrado de equipos y repositorios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3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Plan de recuperación ante ransomware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7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37" w:name="secF"/>
      <w:r>
        <w:rPr>
          <w:b/>
          <w:bCs/>
          <w:color w:val="1A1A1A"/>
          <w:sz w:val="24"/>
          <w:szCs w:val="24"/>
        </w:rPr>
        <w:t>Sección F - Patrimonial y contractual</w:t>
      </w:r>
      <w:bookmarkEnd w:id="37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2486"/>
        <w:gridCol w:w="1864"/>
        <w:gridCol w:w="1968"/>
        <w:gridCol w:w="1139"/>
        <w:gridCol w:w="497"/>
      </w:tblGrid>
      <w:tr w:rsidR="00FE6F22">
        <w:trPr>
          <w:tblHeader/>
        </w:trPr>
        <w:tc>
          <w:tcPr>
            <w:tcW w:w="248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Documento</w:t>
            </w:r>
          </w:p>
        </w:tc>
        <w:tc>
          <w:tcPr>
            <w:tcW w:w="248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Descripción / ubicación del bien</w:t>
            </w:r>
          </w:p>
        </w:tc>
        <w:tc>
          <w:tcPr>
            <w:tcW w:w="186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No. escritura / contrato</w:t>
            </w:r>
          </w:p>
        </w:tc>
        <w:tc>
          <w:tcPr>
            <w:tcW w:w="196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Ubicación del original</w:t>
            </w:r>
          </w:p>
        </w:tc>
        <w:tc>
          <w:tcPr>
            <w:tcW w:w="11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Vencimiento</w:t>
            </w:r>
          </w:p>
        </w:tc>
        <w:tc>
          <w:tcPr>
            <w:tcW w:w="49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Escrituras de inmuebles</w:t>
            </w:r>
          </w:p>
        </w:tc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Contrato de distribución / concesión</w:t>
            </w:r>
          </w:p>
        </w:tc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Contratos de arrendamiento</w:t>
            </w:r>
          </w:p>
        </w:tc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Pólizas de seguro (RC, inmuebles, inventario, D&amp;O)</w:t>
            </w:r>
          </w:p>
        </w:tc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Registros de marca IMPI</w:t>
            </w:r>
          </w:p>
        </w:tc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Licencias y permisos municipales</w:t>
            </w:r>
          </w:p>
        </w:tc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8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38" w:name="secG"/>
      <w:r>
        <w:rPr>
          <w:b/>
          <w:bCs/>
          <w:color w:val="1A1A1A"/>
          <w:sz w:val="24"/>
          <w:szCs w:val="24"/>
        </w:rPr>
        <w:t>Sección G - Laboral y seguridad social</w:t>
      </w:r>
      <w:bookmarkEnd w:id="38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175"/>
        <w:gridCol w:w="1968"/>
        <w:gridCol w:w="1761"/>
        <w:gridCol w:w="1346"/>
        <w:gridCol w:w="497"/>
      </w:tblGrid>
      <w:tr w:rsidR="00FE6F22">
        <w:trPr>
          <w:tblHeader/>
        </w:trPr>
        <w:tc>
          <w:tcPr>
            <w:tcW w:w="269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Elemento</w:t>
            </w:r>
          </w:p>
        </w:tc>
        <w:tc>
          <w:tcPr>
            <w:tcW w:w="217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Registro / número</w:t>
            </w:r>
          </w:p>
        </w:tc>
        <w:tc>
          <w:tcPr>
            <w:tcW w:w="196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Responsable</w:t>
            </w:r>
          </w:p>
        </w:tc>
        <w:tc>
          <w:tcPr>
            <w:tcW w:w="1761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Credencial (sobre)</w:t>
            </w:r>
          </w:p>
        </w:tc>
        <w:tc>
          <w:tcPr>
            <w:tcW w:w="134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Vencimiento</w:t>
            </w:r>
          </w:p>
        </w:tc>
        <w:tc>
          <w:tcPr>
            <w:tcW w:w="49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Registro patronal IMSS</w:t>
            </w:r>
          </w:p>
        </w:tc>
        <w:tc>
          <w:tcPr>
            <w:tcW w:w="21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6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IDSE / certificado digital</w:t>
            </w:r>
          </w:p>
        </w:tc>
        <w:tc>
          <w:tcPr>
            <w:tcW w:w="217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SUA</w:t>
            </w:r>
          </w:p>
        </w:tc>
        <w:tc>
          <w:tcPr>
            <w:tcW w:w="21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6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Portal INFONAVIT</w:t>
            </w:r>
          </w:p>
        </w:tc>
        <w:tc>
          <w:tcPr>
            <w:tcW w:w="217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6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Reglamento interior de trabajo (depositado)</w:t>
            </w:r>
          </w:p>
        </w:tc>
        <w:tc>
          <w:tcPr>
            <w:tcW w:w="21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69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Comisiones mixtas / NOM-035</w:t>
            </w:r>
          </w:p>
        </w:tc>
        <w:tc>
          <w:tcPr>
            <w:tcW w:w="217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761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39" w:name="secH"/>
      <w:r>
        <w:rPr>
          <w:b/>
          <w:bCs/>
          <w:color w:val="1A1A1A"/>
          <w:sz w:val="24"/>
          <w:szCs w:val="24"/>
        </w:rPr>
        <w:t>Sección H - Sellos, valores y accesos físicos</w:t>
      </w:r>
      <w:bookmarkEnd w:id="39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3"/>
        <w:gridCol w:w="1243"/>
        <w:gridCol w:w="1968"/>
        <w:gridCol w:w="2175"/>
        <w:gridCol w:w="1554"/>
        <w:gridCol w:w="497"/>
      </w:tblGrid>
      <w:tr w:rsidR="00FE6F22">
        <w:trPr>
          <w:tblHeader/>
        </w:trPr>
        <w:tc>
          <w:tcPr>
            <w:tcW w:w="300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Elemento</w:t>
            </w:r>
          </w:p>
        </w:tc>
        <w:tc>
          <w:tcPr>
            <w:tcW w:w="124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Cantidad</w:t>
            </w:r>
          </w:p>
        </w:tc>
        <w:tc>
          <w:tcPr>
            <w:tcW w:w="196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Custodio</w:t>
            </w:r>
          </w:p>
        </w:tc>
        <w:tc>
          <w:tcPr>
            <w:tcW w:w="217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Ubicación</w:t>
            </w:r>
          </w:p>
        </w:tc>
        <w:tc>
          <w:tcPr>
            <w:tcW w:w="155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Última verificación</w:t>
            </w:r>
          </w:p>
        </w:tc>
        <w:tc>
          <w:tcPr>
            <w:tcW w:w="49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30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Sellos de la sociedad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300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Chequeras (folios del ___ al ___)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7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30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Pagarés / títulos en blanco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300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Llaves de caja fuerte / combinación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7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30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Caja de seguridad bancaria (institución, No.)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300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Facturas de unidades en piso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7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30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Papel seguridad AMDA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1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r>
        <w:br w:type="page"/>
      </w:r>
    </w:p>
    <w:p w:rsidR="00FE6F22" w:rsidRDefault="00000000">
      <w:pPr>
        <w:pStyle w:val="Heading2"/>
        <w:spacing w:before="160" w:after="70"/>
      </w:pPr>
      <w:bookmarkStart w:id="40" w:name="secI"/>
      <w:r>
        <w:rPr>
          <w:b/>
          <w:bCs/>
          <w:color w:val="1A1A1A"/>
          <w:sz w:val="24"/>
          <w:szCs w:val="24"/>
        </w:rPr>
        <w:lastRenderedPageBreak/>
        <w:t>Sección I - Registro Público Vehicular (REPUVE)</w:t>
      </w:r>
      <w:bookmarkEnd w:id="40"/>
    </w:p>
    <w:p w:rsidR="00FE6F22" w:rsidRDefault="00000000">
      <w:pPr>
        <w:spacing w:before="40" w:after="40"/>
      </w:pPr>
      <w:r>
        <w:rPr>
          <w:b/>
          <w:bCs/>
          <w:color w:val="B01B2E"/>
        </w:rPr>
        <w:t xml:space="preserve">Nota: </w:t>
      </w:r>
      <w:r>
        <w:rPr>
          <w:i/>
          <w:iCs/>
        </w:rPr>
        <w:t>esta sección concentra únicamente el registro de la agencia como sujeto obligado y las claves de acceso al portal. La contraseña se resguarda en el sobre confidencial sellado.</w:t>
      </w:r>
    </w:p>
    <w:p w:rsidR="00FE6F22" w:rsidRDefault="00000000">
      <w:pPr>
        <w:spacing w:after="8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1554"/>
        <w:gridCol w:w="1139"/>
        <w:gridCol w:w="1554"/>
        <w:gridCol w:w="1243"/>
        <w:gridCol w:w="1036"/>
        <w:gridCol w:w="1139"/>
        <w:gridCol w:w="497"/>
      </w:tblGrid>
      <w:tr w:rsidR="00FE6F22">
        <w:trPr>
          <w:tblHeader/>
        </w:trPr>
        <w:tc>
          <w:tcPr>
            <w:tcW w:w="227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Elemento</w:t>
            </w:r>
          </w:p>
        </w:tc>
        <w:tc>
          <w:tcPr>
            <w:tcW w:w="155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Titular / Registro</w:t>
            </w:r>
          </w:p>
        </w:tc>
        <w:tc>
          <w:tcPr>
            <w:tcW w:w="11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Usuario</w:t>
            </w:r>
          </w:p>
        </w:tc>
        <w:tc>
          <w:tcPr>
            <w:tcW w:w="155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Responsable interno</w:t>
            </w:r>
          </w:p>
        </w:tc>
        <w:tc>
          <w:tcPr>
            <w:tcW w:w="124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Suplente</w:t>
            </w:r>
          </w:p>
        </w:tc>
        <w:tc>
          <w:tcPr>
            <w:tcW w:w="103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Vigencia</w:t>
            </w:r>
          </w:p>
        </w:tc>
        <w:tc>
          <w:tcPr>
            <w:tcW w:w="11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Clave (sobre)</w:t>
            </w:r>
          </w:p>
        </w:tc>
        <w:tc>
          <w:tcPr>
            <w:tcW w:w="497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Sem.</w:t>
            </w:r>
          </w:p>
        </w:tc>
      </w:tr>
      <w:tr w:rsidR="00FE6F22">
        <w:tc>
          <w:tcPr>
            <w:tcW w:w="22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Registro como sujeto obligado ante REPUVE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227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Usuario y contraseña del portal REPUVE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>Sobre No.</w:t>
            </w:r>
          </w:p>
        </w:tc>
        <w:tc>
          <w:tcPr>
            <w:tcW w:w="497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pStyle w:val="Heading2"/>
        <w:spacing w:before="160" w:after="70"/>
      </w:pPr>
      <w:bookmarkStart w:id="41" w:name="secPer"/>
      <w:r>
        <w:rPr>
          <w:b/>
          <w:bCs/>
          <w:color w:val="1A1A1A"/>
          <w:sz w:val="24"/>
          <w:szCs w:val="24"/>
        </w:rPr>
        <w:t>Sección M - Personas clave y directorio de emergencia</w:t>
      </w:r>
      <w:bookmarkEnd w:id="41"/>
    </w:p>
    <w:p w:rsidR="00FE6F22" w:rsidRDefault="00000000">
      <w:pPr>
        <w:spacing w:before="40" w:after="40"/>
      </w:pPr>
      <w:r>
        <w:t>Identificación de dependencias críticas de personal y contactos activables en contingencia.</w:t>
      </w:r>
    </w:p>
    <w:p w:rsidR="00FE6F22" w:rsidRDefault="00000000">
      <w:pPr>
        <w:spacing w:after="5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900"/>
        <w:gridCol w:w="1900"/>
        <w:gridCol w:w="2000"/>
        <w:gridCol w:w="1520"/>
        <w:gridCol w:w="520"/>
      </w:tblGrid>
      <w:tr w:rsidR="00FE6F22">
        <w:trPr>
          <w:tblHeader/>
        </w:trPr>
        <w:tc>
          <w:tcPr>
            <w:tcW w:w="2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Función crítica</w:t>
            </w:r>
          </w:p>
        </w:tc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Titular</w:t>
            </w:r>
          </w:p>
        </w:tc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Suplente</w:t>
            </w:r>
          </w:p>
        </w:tc>
        <w:tc>
          <w:tcPr>
            <w:tcW w:w="20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Suplente capacitado y probado</w:t>
            </w:r>
          </w:p>
        </w:tc>
        <w:tc>
          <w:tcPr>
            <w:tcW w:w="152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Contacto 24/7</w:t>
            </w:r>
          </w:p>
        </w:tc>
        <w:tc>
          <w:tcPr>
            <w:tcW w:w="52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Sem.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52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100"/>
      </w:pPr>
      <w:r>
        <w:t xml:space="preserve"> </w:t>
      </w:r>
    </w:p>
    <w:p w:rsidR="00FE6F22" w:rsidRDefault="00000000">
      <w:pPr>
        <w:pStyle w:val="Heading3"/>
        <w:spacing w:before="120" w:after="60"/>
      </w:pPr>
      <w:bookmarkStart w:id="42" w:name="secPer1"/>
      <w:r>
        <w:rPr>
          <w:b/>
          <w:bCs/>
          <w:color w:val="B01B2E"/>
          <w:sz w:val="22"/>
          <w:szCs w:val="22"/>
        </w:rPr>
        <w:t>Directorio de emergencia</w:t>
      </w:r>
      <w:bookmarkEnd w:id="42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600"/>
        <w:gridCol w:w="1800"/>
        <w:gridCol w:w="2140"/>
        <w:gridCol w:w="1500"/>
      </w:tblGrid>
      <w:tr w:rsidR="00FE6F22">
        <w:trPr>
          <w:tblHeader/>
        </w:trPr>
        <w:tc>
          <w:tcPr>
            <w:tcW w:w="24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Contacto</w:t>
            </w:r>
          </w:p>
        </w:tc>
        <w:tc>
          <w:tcPr>
            <w:tcW w:w="26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Institución / Empresa</w:t>
            </w:r>
          </w:p>
        </w:tc>
        <w:tc>
          <w:tcPr>
            <w:tcW w:w="18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Teléfono</w:t>
            </w:r>
          </w:p>
        </w:tc>
        <w:tc>
          <w:tcPr>
            <w:tcW w:w="21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Correo</w:t>
            </w:r>
          </w:p>
        </w:tc>
        <w:tc>
          <w:tcPr>
            <w:tcW w:w="15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Disponibilidad</w:t>
            </w:r>
          </w:p>
        </w:tc>
      </w:tr>
      <w:tr w:rsidR="00FE6F22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Notario / fedatario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Abogado externo</w:t>
            </w:r>
          </w:p>
        </w:tc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Contador / fiscalista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Encargado de cumplimiento PLD</w:t>
            </w:r>
          </w:p>
        </w:tc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Ejecutivo bancario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Proveedor de TI / soporte</w:t>
            </w:r>
          </w:p>
        </w:tc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Aseguradora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Contacto armadora</w:t>
            </w:r>
          </w:p>
        </w:tc>
        <w:tc>
          <w:tcPr>
            <w:tcW w:w="26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Seguridad / emergencias</w:t>
            </w:r>
          </w:p>
        </w:tc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pStyle w:val="Heading2"/>
        <w:spacing w:before="160" w:after="70"/>
      </w:pPr>
      <w:bookmarkStart w:id="43" w:name="secJ"/>
      <w:r>
        <w:rPr>
          <w:b/>
          <w:bCs/>
          <w:color w:val="1A1A1A"/>
          <w:sz w:val="24"/>
          <w:szCs w:val="24"/>
        </w:rPr>
        <w:t>Sección J - Bitácora de actualizaciones</w:t>
      </w:r>
      <w:bookmarkEnd w:id="43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1968"/>
        <w:gridCol w:w="3190"/>
        <w:gridCol w:w="1450"/>
        <w:gridCol w:w="1450"/>
        <w:gridCol w:w="1139"/>
      </w:tblGrid>
      <w:tr w:rsidR="00FE6F22">
        <w:trPr>
          <w:tblHeader/>
        </w:trPr>
        <w:tc>
          <w:tcPr>
            <w:tcW w:w="124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Fecha</w:t>
            </w:r>
          </w:p>
        </w:tc>
        <w:tc>
          <w:tcPr>
            <w:tcW w:w="196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Sección modificada</w:t>
            </w:r>
          </w:p>
        </w:tc>
        <w:tc>
          <w:tcPr>
            <w:tcW w:w="319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Descripción del cambio</w:t>
            </w:r>
          </w:p>
        </w:tc>
        <w:tc>
          <w:tcPr>
            <w:tcW w:w="14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Realizó</w:t>
            </w:r>
          </w:p>
        </w:tc>
        <w:tc>
          <w:tcPr>
            <w:tcW w:w="14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Autorizó</w:t>
            </w:r>
          </w:p>
        </w:tc>
        <w:tc>
          <w:tcPr>
            <w:tcW w:w="11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Firma</w:t>
            </w:r>
          </w:p>
        </w:tc>
      </w:tr>
      <w:tr w:rsidR="00FE6F22"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19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44" w:name="secK"/>
      <w:r>
        <w:rPr>
          <w:b/>
          <w:bCs/>
          <w:color w:val="1A1A1A"/>
          <w:sz w:val="24"/>
          <w:szCs w:val="24"/>
        </w:rPr>
        <w:t>Sección K - Bitácora de acceso al sobre confidencial</w:t>
      </w:r>
      <w:bookmarkEnd w:id="44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829"/>
        <w:gridCol w:w="1036"/>
        <w:gridCol w:w="2464"/>
        <w:gridCol w:w="1554"/>
        <w:gridCol w:w="1450"/>
        <w:gridCol w:w="1036"/>
        <w:gridCol w:w="932"/>
      </w:tblGrid>
      <w:tr w:rsidR="00FE6F22">
        <w:trPr>
          <w:tblHeader/>
        </w:trPr>
        <w:tc>
          <w:tcPr>
            <w:tcW w:w="113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Fecha</w:t>
            </w:r>
          </w:p>
        </w:tc>
        <w:tc>
          <w:tcPr>
            <w:tcW w:w="829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Hora</w:t>
            </w:r>
          </w:p>
        </w:tc>
        <w:tc>
          <w:tcPr>
            <w:tcW w:w="103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Sobre No.</w:t>
            </w:r>
          </w:p>
        </w:tc>
        <w:tc>
          <w:tcPr>
            <w:tcW w:w="246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Motivo</w:t>
            </w:r>
          </w:p>
        </w:tc>
        <w:tc>
          <w:tcPr>
            <w:tcW w:w="155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Accedió</w:t>
            </w:r>
          </w:p>
        </w:tc>
        <w:tc>
          <w:tcPr>
            <w:tcW w:w="145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Testigo</w:t>
            </w:r>
          </w:p>
        </w:tc>
        <w:tc>
          <w:tcPr>
            <w:tcW w:w="103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 reselló</w:t>
            </w:r>
          </w:p>
        </w:tc>
        <w:tc>
          <w:tcPr>
            <w:tcW w:w="93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Firma</w:t>
            </w:r>
          </w:p>
        </w:tc>
      </w:tr>
      <w:tr w:rsidR="00FE6F22"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FE6F22">
        <w:tc>
          <w:tcPr>
            <w:tcW w:w="113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829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46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55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5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03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93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:rsidR="00FE6F22" w:rsidRDefault="00000000">
      <w:pPr>
        <w:pStyle w:val="Heading2"/>
        <w:spacing w:before="160" w:after="70"/>
      </w:pPr>
      <w:bookmarkStart w:id="45" w:name="secVer"/>
      <w:r>
        <w:rPr>
          <w:b/>
          <w:bCs/>
          <w:color w:val="1A1A1A"/>
          <w:sz w:val="24"/>
          <w:szCs w:val="24"/>
        </w:rPr>
        <w:t>Sección N - Bitácora de versiones</w:t>
      </w:r>
      <w:bookmarkEnd w:id="45"/>
    </w:p>
    <w:p w:rsidR="00FE6F22" w:rsidRDefault="00000000">
      <w:pPr>
        <w:spacing w:before="40" w:after="40"/>
      </w:pPr>
      <w:r>
        <w:rPr>
          <w:b/>
          <w:bCs/>
          <w:color w:val="B01B2E"/>
        </w:rPr>
        <w:t xml:space="preserve">Control de cambios extraordinario. </w:t>
      </w:r>
      <w:r>
        <w:rPr>
          <w:i/>
          <w:iCs/>
        </w:rPr>
        <w:t>No espere a la revisión trimestral. Actualice de inmediato ante baja de personal, revocación o nuevo poder, cambio de firmante, apertura o cierre de cuenta, renovación de certificado, sustitución de equipo o incidente de seguridad.</w:t>
      </w:r>
    </w:p>
    <w:p w:rsidR="00FE6F22" w:rsidRDefault="00000000">
      <w:pPr>
        <w:spacing w:after="50"/>
      </w:pPr>
      <w:r>
        <w:t xml:space="preserve"> </w:t>
      </w:r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400"/>
        <w:gridCol w:w="4140"/>
        <w:gridCol w:w="1900"/>
        <w:gridCol w:w="1500"/>
      </w:tblGrid>
      <w:tr w:rsidR="00FE6F22">
        <w:trPr>
          <w:tblHeader/>
        </w:trPr>
        <w:tc>
          <w:tcPr>
            <w:tcW w:w="15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Versión</w:t>
            </w:r>
          </w:p>
        </w:tc>
        <w:tc>
          <w:tcPr>
            <w:tcW w:w="14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Fecha</w:t>
            </w:r>
          </w:p>
        </w:tc>
        <w:tc>
          <w:tcPr>
            <w:tcW w:w="414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Cambio realizado</w:t>
            </w:r>
          </w:p>
        </w:tc>
        <w:tc>
          <w:tcPr>
            <w:tcW w:w="19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Responsable</w:t>
            </w:r>
          </w:p>
        </w:tc>
        <w:tc>
          <w:tcPr>
            <w:tcW w:w="150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Aprobó</w:t>
            </w:r>
          </w:p>
        </w:tc>
      </w:tr>
      <w:tr w:rsidR="00FE6F22"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4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414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9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50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pStyle w:val="Heading2"/>
        <w:spacing w:before="160" w:after="70"/>
      </w:pPr>
      <w:bookmarkStart w:id="46" w:name="secL"/>
      <w:r>
        <w:rPr>
          <w:b/>
          <w:bCs/>
          <w:color w:val="1A1A1A"/>
          <w:sz w:val="24"/>
          <w:szCs w:val="24"/>
        </w:rPr>
        <w:t>Sección L - Protocolo de contingencia</w:t>
      </w:r>
      <w:bookmarkEnd w:id="46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4330"/>
        <w:gridCol w:w="1968"/>
        <w:gridCol w:w="1346"/>
      </w:tblGrid>
      <w:tr w:rsidR="00FE6F22">
        <w:trPr>
          <w:tblHeader/>
        </w:trPr>
        <w:tc>
          <w:tcPr>
            <w:tcW w:w="279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lastRenderedPageBreak/>
              <w:t>Supuesto</w:t>
            </w:r>
          </w:p>
        </w:tc>
        <w:tc>
          <w:tcPr>
            <w:tcW w:w="4330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Acción inmediata</w:t>
            </w:r>
          </w:p>
        </w:tc>
        <w:tc>
          <w:tcPr>
            <w:tcW w:w="1968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Responsable</w:t>
            </w:r>
          </w:p>
        </w:tc>
        <w:tc>
          <w:tcPr>
            <w:tcW w:w="134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Plazo</w:t>
            </w:r>
          </w:p>
        </w:tc>
      </w:tr>
      <w:tr w:rsidR="00FE6F22">
        <w:tc>
          <w:tcPr>
            <w:tcW w:w="27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Separación de apoderado</w:t>
            </w:r>
          </w:p>
        </w:tc>
        <w:tc>
          <w:tcPr>
            <w:tcW w:w="43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Revocación notarial, inscripción en RPPC y notificación a bancos y SAT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Jurídico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5 días hábiles</w:t>
            </w:r>
          </w:p>
        </w:tc>
      </w:tr>
      <w:tr w:rsidR="00FE6F22">
        <w:tc>
          <w:tcPr>
            <w:tcW w:w="279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Baja de personal con acceso digital</w:t>
            </w:r>
          </w:p>
        </w:tc>
        <w:tc>
          <w:tcPr>
            <w:tcW w:w="433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Cancelación de usuarios y cambio de contraseñas, incluido REPUVE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Sistemas / RH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24 horas</w:t>
            </w:r>
          </w:p>
        </w:tc>
      </w:tr>
      <w:tr w:rsidR="00FE6F22">
        <w:tc>
          <w:tcPr>
            <w:tcW w:w="27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Notificación en Buzón Tributario</w:t>
            </w:r>
          </w:p>
        </w:tc>
        <w:tc>
          <w:tcPr>
            <w:tcW w:w="43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Escalamiento a Jurídico y Fiscal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Responsable de buzón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Inmediato</w:t>
            </w:r>
          </w:p>
        </w:tc>
      </w:tr>
      <w:tr w:rsidR="00FE6F22">
        <w:tc>
          <w:tcPr>
            <w:tcW w:w="279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Fallecimiento o incapacidad del Administrador Único</w:t>
            </w:r>
          </w:p>
        </w:tc>
        <w:tc>
          <w:tcPr>
            <w:tcW w:w="433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Apertura del Libro Rojo por custodios y convocatoria a asamblea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Custodio Titular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48 horas</w:t>
            </w:r>
          </w:p>
        </w:tc>
      </w:tr>
      <w:tr w:rsidR="00FE6F22">
        <w:tc>
          <w:tcPr>
            <w:tcW w:w="27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Robo o extravío de token o e.firma</w:t>
            </w:r>
          </w:p>
        </w:tc>
        <w:tc>
          <w:tcPr>
            <w:tcW w:w="43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Bloqueo, denuncia y revocación de certificado</w:t>
            </w:r>
          </w:p>
        </w:tc>
        <w:tc>
          <w:tcPr>
            <w:tcW w:w="19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Finanzas / Jurídico</w:t>
            </w:r>
          </w:p>
        </w:tc>
        <w:tc>
          <w:tcPr>
            <w:tcW w:w="13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Inmediato</w:t>
            </w:r>
          </w:p>
        </w:tc>
      </w:tr>
      <w:tr w:rsidR="00FE6F22">
        <w:tc>
          <w:tcPr>
            <w:tcW w:w="279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Requerimiento de autoridad</w:t>
            </w:r>
          </w:p>
        </w:tc>
        <w:tc>
          <w:tcPr>
            <w:tcW w:w="4330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Apertura controlada de la sección aplicable</w:t>
            </w:r>
          </w:p>
        </w:tc>
        <w:tc>
          <w:tcPr>
            <w:tcW w:w="1968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Custodio y Jurídico</w:t>
            </w:r>
          </w:p>
        </w:tc>
        <w:tc>
          <w:tcPr>
            <w:tcW w:w="134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Según requerimiento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Style w:val="Heading2"/>
        <w:spacing w:before="160" w:after="70"/>
      </w:pPr>
      <w:bookmarkStart w:id="47" w:name="firmas"/>
      <w:r>
        <w:rPr>
          <w:b/>
          <w:bCs/>
          <w:color w:val="1A1A1A"/>
          <w:sz w:val="24"/>
          <w:szCs w:val="24"/>
        </w:rPr>
        <w:t>Hoja de firmas</w:t>
      </w:r>
      <w:bookmarkEnd w:id="47"/>
    </w:p>
    <w:tbl>
      <w:tblPr>
        <w:tblW w:w="104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5"/>
        <w:gridCol w:w="2486"/>
        <w:gridCol w:w="2382"/>
        <w:gridCol w:w="1844"/>
        <w:gridCol w:w="1243"/>
      </w:tblGrid>
      <w:tr w:rsidR="00FE6F22">
        <w:trPr>
          <w:tblHeader/>
        </w:trPr>
        <w:tc>
          <w:tcPr>
            <w:tcW w:w="2485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 </w:t>
            </w:r>
          </w:p>
        </w:tc>
        <w:tc>
          <w:tcPr>
            <w:tcW w:w="2486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Nombre</w:t>
            </w:r>
          </w:p>
        </w:tc>
        <w:tc>
          <w:tcPr>
            <w:tcW w:w="2382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Cargo</w:t>
            </w:r>
          </w:p>
        </w:tc>
        <w:tc>
          <w:tcPr>
            <w:tcW w:w="1844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Firma</w:t>
            </w:r>
          </w:p>
        </w:tc>
        <w:tc>
          <w:tcPr>
            <w:tcW w:w="1243" w:type="dxa"/>
            <w:shd w:val="clear" w:color="auto" w:fill="B01B2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Fecha</w:t>
            </w:r>
          </w:p>
        </w:tc>
      </w:tr>
      <w:tr w:rsidR="00FE6F22">
        <w:tc>
          <w:tcPr>
            <w:tcW w:w="24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Elaboró</w:t>
            </w:r>
          </w:p>
        </w:tc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8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Revisó</w:t>
            </w:r>
          </w:p>
        </w:tc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8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4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Autorizó</w:t>
            </w:r>
          </w:p>
        </w:tc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Consejo de Administración / Administrador Único / Director General</w:t>
            </w:r>
          </w:p>
        </w:tc>
        <w:tc>
          <w:tcPr>
            <w:tcW w:w="18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85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Custodio Titular (acepta)</w:t>
            </w:r>
          </w:p>
        </w:tc>
        <w:tc>
          <w:tcPr>
            <w:tcW w:w="2486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82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44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243" w:type="dxa"/>
            <w:shd w:val="clear" w:color="auto" w:fill="FAFAF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E6F22">
        <w:tc>
          <w:tcPr>
            <w:tcW w:w="24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>Custodio Suplente (acepta)</w:t>
            </w:r>
          </w:p>
        </w:tc>
        <w:tc>
          <w:tcPr>
            <w:tcW w:w="24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38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8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24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FE6F22" w:rsidRDefault="00000000">
            <w:pPr>
              <w:spacing w:before="10" w:after="10"/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FE6F22" w:rsidRDefault="00000000">
      <w:pPr>
        <w:spacing w:after="80"/>
      </w:pPr>
      <w:r>
        <w:t xml:space="preserve"> </w:t>
      </w:r>
    </w:p>
    <w:p w:rsidR="00FE6F22" w:rsidRDefault="00000000">
      <w:pPr>
        <w:pBdr>
          <w:top w:val="single" w:sz="8" w:space="8" w:color="B01B2E"/>
        </w:pBdr>
        <w:spacing w:before="200"/>
      </w:pPr>
      <w:r>
        <w:rPr>
          <w:b/>
          <w:bCs/>
          <w:color w:val="B01B2E"/>
        </w:rPr>
        <w:t xml:space="preserve">Nota de confidencialidad: </w:t>
      </w:r>
      <w:r>
        <w:rPr>
          <w:i/>
          <w:iCs/>
          <w:sz w:val="17"/>
          <w:szCs w:val="17"/>
        </w:rPr>
        <w:t>este documento y sus anexos constituyen información confidencial y reservada de la sociedad. Su reproducción, divulgación o uso no autorizado está prohibido en términos de la legislación aplicable.</w:t>
      </w:r>
    </w:p>
    <w:sectPr w:rsidR="00FE6F22">
      <w:headerReference w:type="default" r:id="rId11"/>
      <w:footerReference w:type="default" r:id="rId12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1FA6" w:rsidRDefault="004E1FA6">
      <w:pPr>
        <w:spacing w:line="240" w:lineRule="auto"/>
      </w:pPr>
      <w:r>
        <w:separator/>
      </w:r>
    </w:p>
  </w:endnote>
  <w:endnote w:type="continuationSeparator" w:id="0">
    <w:p w:rsidR="004E1FA6" w:rsidRDefault="004E1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6F22" w:rsidRDefault="00000000">
    <w:pPr>
      <w:jc w:val="center"/>
    </w:pPr>
    <w:r>
      <w:rPr>
        <w:color w:val="808080"/>
        <w:sz w:val="15"/>
        <w:szCs w:val="15"/>
      </w:rPr>
      <w:t xml:space="preserve">Página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>PAGE</w:instrText>
    </w:r>
    <w:r>
      <w:rPr>
        <w:color w:val="808080"/>
        <w:sz w:val="15"/>
        <w:szCs w:val="15"/>
      </w:rPr>
      <w:fldChar w:fldCharType="separate"/>
    </w:r>
    <w:r w:rsidR="00230A17">
      <w:rPr>
        <w:noProof/>
        <w:color w:val="808080"/>
        <w:sz w:val="15"/>
        <w:szCs w:val="15"/>
      </w:rPr>
      <w:t>1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de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>NUMPAGES</w:instrText>
    </w:r>
    <w:r>
      <w:rPr>
        <w:color w:val="808080"/>
        <w:sz w:val="15"/>
        <w:szCs w:val="15"/>
      </w:rPr>
      <w:fldChar w:fldCharType="separate"/>
    </w:r>
    <w:r w:rsidR="00230A17">
      <w:rPr>
        <w:noProof/>
        <w:color w:val="808080"/>
        <w:sz w:val="15"/>
        <w:szCs w:val="15"/>
      </w:rPr>
      <w:t>2</w:t>
    </w:r>
    <w:r>
      <w:rPr>
        <w:color w:val="808080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6F22" w:rsidRDefault="00000000">
    <w:pPr>
      <w:jc w:val="center"/>
    </w:pPr>
    <w:r>
      <w:rPr>
        <w:color w:val="808080"/>
        <w:sz w:val="15"/>
        <w:szCs w:val="15"/>
      </w:rPr>
      <w:t xml:space="preserve">Página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>PAGE</w:instrText>
    </w:r>
    <w:r>
      <w:rPr>
        <w:color w:val="808080"/>
        <w:sz w:val="15"/>
        <w:szCs w:val="15"/>
      </w:rPr>
      <w:fldChar w:fldCharType="separate"/>
    </w:r>
    <w:r w:rsidR="00230A17">
      <w:rPr>
        <w:noProof/>
        <w:color w:val="808080"/>
        <w:sz w:val="15"/>
        <w:szCs w:val="15"/>
      </w:rPr>
      <w:t>12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de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>NUMPAGES</w:instrText>
    </w:r>
    <w:r>
      <w:rPr>
        <w:color w:val="808080"/>
        <w:sz w:val="15"/>
        <w:szCs w:val="15"/>
      </w:rPr>
      <w:fldChar w:fldCharType="separate"/>
    </w:r>
    <w:r w:rsidR="00230A17">
      <w:rPr>
        <w:noProof/>
        <w:color w:val="808080"/>
        <w:sz w:val="15"/>
        <w:szCs w:val="15"/>
      </w:rPr>
      <w:t>13</w:t>
    </w:r>
    <w:r>
      <w:rPr>
        <w:color w:val="808080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6F22" w:rsidRDefault="00000000">
    <w:pPr>
      <w:jc w:val="center"/>
    </w:pPr>
    <w:r>
      <w:rPr>
        <w:color w:val="808080"/>
        <w:sz w:val="15"/>
        <w:szCs w:val="15"/>
      </w:rPr>
      <w:t xml:space="preserve">Página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>PAGE</w:instrText>
    </w:r>
    <w:r>
      <w:rPr>
        <w:color w:val="808080"/>
        <w:sz w:val="15"/>
        <w:szCs w:val="15"/>
      </w:rPr>
      <w:fldChar w:fldCharType="separate"/>
    </w:r>
    <w:r w:rsidR="00230A17">
      <w:rPr>
        <w:noProof/>
        <w:color w:val="808080"/>
        <w:sz w:val="15"/>
        <w:szCs w:val="15"/>
      </w:rPr>
      <w:t>14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de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>NUMPAGES</w:instrText>
    </w:r>
    <w:r>
      <w:rPr>
        <w:color w:val="808080"/>
        <w:sz w:val="15"/>
        <w:szCs w:val="15"/>
      </w:rPr>
      <w:fldChar w:fldCharType="separate"/>
    </w:r>
    <w:r w:rsidR="00230A17">
      <w:rPr>
        <w:noProof/>
        <w:color w:val="808080"/>
        <w:sz w:val="15"/>
        <w:szCs w:val="15"/>
      </w:rPr>
      <w:t>15</w:t>
    </w:r>
    <w:r>
      <w:rPr>
        <w:color w:val="808080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1FA6" w:rsidRDefault="004E1FA6">
      <w:pPr>
        <w:spacing w:line="240" w:lineRule="auto"/>
      </w:pPr>
      <w:r>
        <w:separator/>
      </w:r>
    </w:p>
  </w:footnote>
  <w:footnote w:type="continuationSeparator" w:id="0">
    <w:p w:rsidR="004E1FA6" w:rsidRDefault="004E1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6F22" w:rsidRDefault="00000000">
    <w:pPr>
      <w:pBdr>
        <w:bottom w:val="single" w:sz="6" w:space="4" w:color="B01B2E"/>
      </w:pBdr>
      <w:jc w:val="right"/>
    </w:pPr>
    <w:r>
      <w:rPr>
        <w:b/>
        <w:bCs/>
        <w:color w:val="B01B2E"/>
        <w:sz w:val="15"/>
        <w:szCs w:val="15"/>
      </w:rPr>
      <w:t>LIBRO ROJO CORPORATIVO  |  CONFIDENCIAL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6F22" w:rsidRDefault="00000000">
    <w:pPr>
      <w:pBdr>
        <w:bottom w:val="single" w:sz="6" w:space="4" w:color="B01B2E"/>
      </w:pBdr>
      <w:jc w:val="right"/>
    </w:pPr>
    <w:r>
      <w:rPr>
        <w:b/>
        <w:bCs/>
        <w:color w:val="B01B2E"/>
        <w:sz w:val="15"/>
        <w:szCs w:val="15"/>
      </w:rPr>
      <w:t>LIBRO ROJO CORPORATIVO  |  CONFIDENCIAL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6F22" w:rsidRDefault="00000000">
    <w:pPr>
      <w:pBdr>
        <w:bottom w:val="single" w:sz="6" w:space="4" w:color="B01B2E"/>
      </w:pBdr>
      <w:jc w:val="right"/>
    </w:pPr>
    <w:r>
      <w:rPr>
        <w:b/>
        <w:bCs/>
        <w:color w:val="B01B2E"/>
        <w:sz w:val="15"/>
        <w:szCs w:val="15"/>
      </w:rPr>
      <w:t>LIBRO ROJO CORPORATIVO  |  CONFIDENCIAL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73B83"/>
    <w:multiLevelType w:val="hybridMultilevel"/>
    <w:tmpl w:val="8C02BA66"/>
    <w:lvl w:ilvl="0" w:tplc="58ECCD9A">
      <w:start w:val="1"/>
      <w:numFmt w:val="decimal"/>
      <w:lvlText w:val="%1."/>
      <w:lvlJc w:val="left"/>
      <w:pPr>
        <w:ind w:left="460" w:hanging="300"/>
      </w:pPr>
    </w:lvl>
    <w:lvl w:ilvl="1" w:tplc="10F26B26">
      <w:numFmt w:val="decimal"/>
      <w:lvlText w:val=""/>
      <w:lvlJc w:val="left"/>
    </w:lvl>
    <w:lvl w:ilvl="2" w:tplc="F468DAC0">
      <w:numFmt w:val="decimal"/>
      <w:lvlText w:val=""/>
      <w:lvlJc w:val="left"/>
    </w:lvl>
    <w:lvl w:ilvl="3" w:tplc="984291B6">
      <w:numFmt w:val="decimal"/>
      <w:lvlText w:val=""/>
      <w:lvlJc w:val="left"/>
    </w:lvl>
    <w:lvl w:ilvl="4" w:tplc="7F8EE8B4">
      <w:numFmt w:val="decimal"/>
      <w:lvlText w:val=""/>
      <w:lvlJc w:val="left"/>
    </w:lvl>
    <w:lvl w:ilvl="5" w:tplc="CF36006E">
      <w:numFmt w:val="decimal"/>
      <w:lvlText w:val=""/>
      <w:lvlJc w:val="left"/>
    </w:lvl>
    <w:lvl w:ilvl="6" w:tplc="BCC209B4">
      <w:numFmt w:val="decimal"/>
      <w:lvlText w:val=""/>
      <w:lvlJc w:val="left"/>
    </w:lvl>
    <w:lvl w:ilvl="7" w:tplc="AB60097E">
      <w:numFmt w:val="decimal"/>
      <w:lvlText w:val=""/>
      <w:lvlJc w:val="left"/>
    </w:lvl>
    <w:lvl w:ilvl="8" w:tplc="AC6C442A">
      <w:numFmt w:val="decimal"/>
      <w:lvlText w:val=""/>
      <w:lvlJc w:val="left"/>
    </w:lvl>
  </w:abstractNum>
  <w:abstractNum w:abstractNumId="1" w15:restartNumberingAfterBreak="0">
    <w:nsid w:val="6FD92E10"/>
    <w:multiLevelType w:val="hybridMultilevel"/>
    <w:tmpl w:val="AE104BA4"/>
    <w:lvl w:ilvl="0" w:tplc="5978A840">
      <w:start w:val="1"/>
      <w:numFmt w:val="bullet"/>
      <w:lvlText w:val="•"/>
      <w:lvlJc w:val="left"/>
      <w:pPr>
        <w:ind w:left="460" w:hanging="260"/>
      </w:pPr>
    </w:lvl>
    <w:lvl w:ilvl="1" w:tplc="15D4A6AA">
      <w:numFmt w:val="decimal"/>
      <w:lvlText w:val=""/>
      <w:lvlJc w:val="left"/>
    </w:lvl>
    <w:lvl w:ilvl="2" w:tplc="4984B828">
      <w:numFmt w:val="decimal"/>
      <w:lvlText w:val=""/>
      <w:lvlJc w:val="left"/>
    </w:lvl>
    <w:lvl w:ilvl="3" w:tplc="501CCEF0">
      <w:numFmt w:val="decimal"/>
      <w:lvlText w:val=""/>
      <w:lvlJc w:val="left"/>
    </w:lvl>
    <w:lvl w:ilvl="4" w:tplc="4F5E3D6A">
      <w:numFmt w:val="decimal"/>
      <w:lvlText w:val=""/>
      <w:lvlJc w:val="left"/>
    </w:lvl>
    <w:lvl w:ilvl="5" w:tplc="8C2C0F06">
      <w:numFmt w:val="decimal"/>
      <w:lvlText w:val=""/>
      <w:lvlJc w:val="left"/>
    </w:lvl>
    <w:lvl w:ilvl="6" w:tplc="C46E53F8">
      <w:numFmt w:val="decimal"/>
      <w:lvlText w:val=""/>
      <w:lvlJc w:val="left"/>
    </w:lvl>
    <w:lvl w:ilvl="7" w:tplc="E2CEBEC4">
      <w:numFmt w:val="decimal"/>
      <w:lvlText w:val=""/>
      <w:lvlJc w:val="left"/>
    </w:lvl>
    <w:lvl w:ilvl="8" w:tplc="F02A24D2">
      <w:numFmt w:val="decimal"/>
      <w:lvlText w:val=""/>
      <w:lvlJc w:val="left"/>
    </w:lvl>
  </w:abstractNum>
  <w:abstractNum w:abstractNumId="2" w15:restartNumberingAfterBreak="0">
    <w:nsid w:val="746D3BC7"/>
    <w:multiLevelType w:val="hybridMultilevel"/>
    <w:tmpl w:val="F56CD5B4"/>
    <w:lvl w:ilvl="0" w:tplc="EE14FD64">
      <w:start w:val="1"/>
      <w:numFmt w:val="bullet"/>
      <w:lvlText w:val="●"/>
      <w:lvlJc w:val="left"/>
      <w:pPr>
        <w:ind w:left="720" w:hanging="360"/>
      </w:pPr>
    </w:lvl>
    <w:lvl w:ilvl="1" w:tplc="A70C2058">
      <w:start w:val="1"/>
      <w:numFmt w:val="bullet"/>
      <w:lvlText w:val="○"/>
      <w:lvlJc w:val="left"/>
      <w:pPr>
        <w:ind w:left="1440" w:hanging="360"/>
      </w:pPr>
    </w:lvl>
    <w:lvl w:ilvl="2" w:tplc="2DB24BE6">
      <w:start w:val="1"/>
      <w:numFmt w:val="bullet"/>
      <w:lvlText w:val="■"/>
      <w:lvlJc w:val="left"/>
      <w:pPr>
        <w:ind w:left="2160" w:hanging="360"/>
      </w:pPr>
    </w:lvl>
    <w:lvl w:ilvl="3" w:tplc="2FE853EE">
      <w:start w:val="1"/>
      <w:numFmt w:val="bullet"/>
      <w:lvlText w:val="●"/>
      <w:lvlJc w:val="left"/>
      <w:pPr>
        <w:ind w:left="2880" w:hanging="360"/>
      </w:pPr>
    </w:lvl>
    <w:lvl w:ilvl="4" w:tplc="69FED79A">
      <w:start w:val="1"/>
      <w:numFmt w:val="bullet"/>
      <w:lvlText w:val="○"/>
      <w:lvlJc w:val="left"/>
      <w:pPr>
        <w:ind w:left="3600" w:hanging="360"/>
      </w:pPr>
    </w:lvl>
    <w:lvl w:ilvl="5" w:tplc="EA62797A">
      <w:start w:val="1"/>
      <w:numFmt w:val="bullet"/>
      <w:lvlText w:val="■"/>
      <w:lvlJc w:val="left"/>
      <w:pPr>
        <w:ind w:left="4320" w:hanging="360"/>
      </w:pPr>
    </w:lvl>
    <w:lvl w:ilvl="6" w:tplc="B832D6A0">
      <w:start w:val="1"/>
      <w:numFmt w:val="bullet"/>
      <w:lvlText w:val="●"/>
      <w:lvlJc w:val="left"/>
      <w:pPr>
        <w:ind w:left="5040" w:hanging="360"/>
      </w:pPr>
    </w:lvl>
    <w:lvl w:ilvl="7" w:tplc="74BA81B0">
      <w:start w:val="1"/>
      <w:numFmt w:val="bullet"/>
      <w:lvlText w:val="●"/>
      <w:lvlJc w:val="left"/>
      <w:pPr>
        <w:ind w:left="5760" w:hanging="360"/>
      </w:pPr>
    </w:lvl>
    <w:lvl w:ilvl="8" w:tplc="AD2AAD3E">
      <w:start w:val="1"/>
      <w:numFmt w:val="bullet"/>
      <w:lvlText w:val="●"/>
      <w:lvlJc w:val="left"/>
      <w:pPr>
        <w:ind w:left="6480" w:hanging="360"/>
      </w:pPr>
    </w:lvl>
  </w:abstractNum>
  <w:num w:numId="1" w16cid:durableId="1750886569">
    <w:abstractNumId w:val="2"/>
    <w:lvlOverride w:ilvl="0">
      <w:startOverride w:val="1"/>
    </w:lvlOverride>
  </w:num>
  <w:num w:numId="2" w16cid:durableId="345451022">
    <w:abstractNumId w:val="1"/>
    <w:lvlOverride w:ilvl="0">
      <w:startOverride w:val="1"/>
    </w:lvlOverride>
  </w:num>
  <w:num w:numId="3" w16cid:durableId="146944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22"/>
    <w:rsid w:val="00016840"/>
    <w:rsid w:val="00230A17"/>
    <w:rsid w:val="004E1FA6"/>
    <w:rsid w:val="008703C1"/>
    <w:rsid w:val="00FE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3731386-270D-4F4F-A549-8082869D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1A"/>
        <w:lang w:val="en-MX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4187</Words>
  <Characters>23866</Characters>
  <Application>Microsoft Office Word</Application>
  <DocSecurity>0</DocSecurity>
  <Lines>198</Lines>
  <Paragraphs>55</Paragraphs>
  <ScaleCrop>false</ScaleCrop>
  <Company/>
  <LinksUpToDate>false</LinksUpToDate>
  <CharactersWithSpaces>27998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Libro Rojo Corporativo - AMDA</dc:title>
  <dc:creator>Libro Rojo Corporativo</dc:creator>
  <cp:lastModifiedBy>Dr. Fernando Lascurain Farell</cp:lastModifiedBy>
  <cp:revision>2</cp:revision>
  <dcterms:created xsi:type="dcterms:W3CDTF">2026-07-31T16:26:00Z</dcterms:created>
  <dcterms:modified xsi:type="dcterms:W3CDTF">2026-07-31T16:26:00Z</dcterms:modified>
</cp:coreProperties>
</file>